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12106E" w14:textId="77777777" w:rsidR="004C1264" w:rsidRDefault="004C1264" w:rsidP="004C1264">
      <w:pPr>
        <w:spacing w:line="360" w:lineRule="auto"/>
        <w:jc w:val="center"/>
        <w:rPr>
          <w:rFonts w:ascii="Arial" w:hAnsi="Arial" w:cs="Arial"/>
          <w:b/>
          <w:sz w:val="24"/>
          <w:szCs w:val="24"/>
        </w:rPr>
      </w:pPr>
    </w:p>
    <w:p w14:paraId="7596FBFD" w14:textId="34953B56" w:rsidR="004C1264" w:rsidRPr="00D22A4D" w:rsidRDefault="004C1264" w:rsidP="004C1264">
      <w:pPr>
        <w:spacing w:line="360" w:lineRule="auto"/>
        <w:jc w:val="center"/>
        <w:rPr>
          <w:rFonts w:ascii="Arial" w:hAnsi="Arial" w:cs="Arial"/>
          <w:b/>
          <w:sz w:val="24"/>
          <w:szCs w:val="24"/>
        </w:rPr>
      </w:pPr>
      <w:proofErr w:type="spellStart"/>
      <w:r w:rsidRPr="004C1264">
        <w:rPr>
          <w:rFonts w:ascii="Arial" w:hAnsi="Arial" w:cs="Arial"/>
          <w:b/>
          <w:sz w:val="24"/>
          <w:szCs w:val="24"/>
        </w:rPr>
        <w:t>Latin</w:t>
      </w:r>
      <w:proofErr w:type="spellEnd"/>
      <w:r w:rsidRPr="004C1264">
        <w:rPr>
          <w:rFonts w:ascii="Arial" w:hAnsi="Arial" w:cs="Arial"/>
          <w:b/>
          <w:sz w:val="24"/>
          <w:szCs w:val="24"/>
        </w:rPr>
        <w:t xml:space="preserve"> American </w:t>
      </w:r>
      <w:proofErr w:type="spellStart"/>
      <w:r w:rsidRPr="004C1264">
        <w:rPr>
          <w:rFonts w:ascii="Arial" w:hAnsi="Arial" w:cs="Arial"/>
          <w:b/>
          <w:sz w:val="24"/>
          <w:szCs w:val="24"/>
        </w:rPr>
        <w:t>Compliance</w:t>
      </w:r>
      <w:proofErr w:type="spellEnd"/>
      <w:r w:rsidRPr="004C1264">
        <w:rPr>
          <w:rFonts w:ascii="Arial" w:hAnsi="Arial" w:cs="Arial"/>
          <w:b/>
          <w:sz w:val="24"/>
          <w:szCs w:val="24"/>
        </w:rPr>
        <w:t xml:space="preserve"> </w:t>
      </w:r>
      <w:proofErr w:type="spellStart"/>
      <w:r w:rsidRPr="004C1264">
        <w:rPr>
          <w:rFonts w:ascii="Arial" w:hAnsi="Arial" w:cs="Arial"/>
          <w:b/>
          <w:sz w:val="24"/>
          <w:szCs w:val="24"/>
        </w:rPr>
        <w:t>Association</w:t>
      </w:r>
      <w:proofErr w:type="spellEnd"/>
    </w:p>
    <w:p w14:paraId="3C4E1810" w14:textId="7D0516F7" w:rsidR="004C1264" w:rsidRPr="00D22A4D" w:rsidRDefault="004C1264" w:rsidP="004C1264">
      <w:pPr>
        <w:spacing w:line="360" w:lineRule="auto"/>
        <w:jc w:val="center"/>
        <w:rPr>
          <w:rFonts w:ascii="Arial" w:hAnsi="Arial" w:cs="Arial"/>
          <w:b/>
          <w:sz w:val="24"/>
          <w:szCs w:val="24"/>
        </w:rPr>
      </w:pPr>
      <w:r>
        <w:rPr>
          <w:noProof/>
        </w:rPr>
        <w:drawing>
          <wp:inline distT="0" distB="0" distL="0" distR="0" wp14:anchorId="79F57CEA" wp14:editId="71CF0B82">
            <wp:extent cx="3098165" cy="1533525"/>
            <wp:effectExtent l="0" t="0" r="0" b="0"/>
            <wp:docPr id="2" name="Imagen 2" descr="Logo LAT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Logo LATCA"/>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115127" cy="1541921"/>
                    </a:xfrm>
                    <a:prstGeom prst="rect">
                      <a:avLst/>
                    </a:prstGeom>
                    <a:noFill/>
                    <a:ln>
                      <a:noFill/>
                    </a:ln>
                  </pic:spPr>
                </pic:pic>
              </a:graphicData>
            </a:graphic>
          </wp:inline>
        </w:drawing>
      </w:r>
    </w:p>
    <w:p w14:paraId="1D7CC30C" w14:textId="0AFE0C97" w:rsidR="004C1264" w:rsidRDefault="004C1264" w:rsidP="004C1264">
      <w:pPr>
        <w:spacing w:line="360" w:lineRule="auto"/>
        <w:jc w:val="center"/>
        <w:rPr>
          <w:rFonts w:ascii="Arial" w:hAnsi="Arial" w:cs="Arial"/>
          <w:b/>
          <w:sz w:val="24"/>
          <w:szCs w:val="24"/>
        </w:rPr>
      </w:pPr>
      <w:r w:rsidRPr="004C1264">
        <w:rPr>
          <w:rFonts w:ascii="Arial" w:hAnsi="Arial" w:cs="Arial"/>
          <w:b/>
          <w:sz w:val="24"/>
          <w:szCs w:val="24"/>
        </w:rPr>
        <w:t>Certificación LATCA</w:t>
      </w:r>
    </w:p>
    <w:p w14:paraId="4F35B55A" w14:textId="77777777" w:rsidR="004C1264" w:rsidRPr="00D22A4D" w:rsidRDefault="004C1264" w:rsidP="004C1264">
      <w:pPr>
        <w:spacing w:line="360" w:lineRule="auto"/>
        <w:jc w:val="center"/>
        <w:rPr>
          <w:rFonts w:ascii="Arial" w:hAnsi="Arial" w:cs="Arial"/>
          <w:b/>
          <w:sz w:val="24"/>
          <w:szCs w:val="24"/>
        </w:rPr>
      </w:pPr>
    </w:p>
    <w:p w14:paraId="58D20369" w14:textId="08060B75" w:rsidR="004C1264" w:rsidRPr="00D22A4D" w:rsidRDefault="004C1264" w:rsidP="004C1264">
      <w:pPr>
        <w:spacing w:line="360" w:lineRule="auto"/>
        <w:jc w:val="center"/>
        <w:rPr>
          <w:rFonts w:ascii="Arial" w:hAnsi="Arial" w:cs="Arial"/>
          <w:b/>
          <w:sz w:val="24"/>
          <w:szCs w:val="24"/>
        </w:rPr>
      </w:pPr>
      <w:r w:rsidRPr="004C1264">
        <w:rPr>
          <w:rFonts w:ascii="Arial" w:hAnsi="Arial" w:cs="Arial"/>
          <w:b/>
          <w:sz w:val="24"/>
          <w:szCs w:val="24"/>
        </w:rPr>
        <w:t>Evaluación Módulo V - Trabajo Práctico</w:t>
      </w:r>
    </w:p>
    <w:p w14:paraId="0BD9AF89" w14:textId="557A1DEF" w:rsidR="004C1264" w:rsidRPr="00471230" w:rsidRDefault="004C1264" w:rsidP="00471230">
      <w:pPr>
        <w:spacing w:line="360" w:lineRule="auto"/>
        <w:jc w:val="center"/>
        <w:rPr>
          <w:rFonts w:ascii="Arial" w:hAnsi="Arial" w:cs="Arial"/>
          <w:b/>
          <w:sz w:val="24"/>
          <w:szCs w:val="24"/>
        </w:rPr>
      </w:pPr>
      <w:r w:rsidRPr="00471230">
        <w:rPr>
          <w:rFonts w:ascii="Arial" w:hAnsi="Arial" w:cs="Arial"/>
          <w:b/>
          <w:sz w:val="24"/>
          <w:szCs w:val="24"/>
        </w:rPr>
        <w:t>“Influencia del GAFI y otros organismos internacionales en la legislación paraguaya contra el lavado de activos y el financiamiento del terrorismo"</w:t>
      </w:r>
    </w:p>
    <w:p w14:paraId="392FCCD3" w14:textId="77777777" w:rsidR="004C1264" w:rsidRPr="00D22A4D" w:rsidRDefault="004C1264" w:rsidP="004C1264">
      <w:pPr>
        <w:spacing w:line="360" w:lineRule="auto"/>
        <w:jc w:val="both"/>
        <w:rPr>
          <w:rFonts w:ascii="Arial" w:hAnsi="Arial" w:cs="Arial"/>
          <w:b/>
          <w:sz w:val="24"/>
          <w:szCs w:val="24"/>
        </w:rPr>
      </w:pPr>
    </w:p>
    <w:p w14:paraId="79D17B03" w14:textId="77777777" w:rsidR="004C1264" w:rsidRPr="00D22A4D" w:rsidRDefault="004C1264" w:rsidP="004C1264">
      <w:pPr>
        <w:spacing w:line="360" w:lineRule="auto"/>
        <w:jc w:val="both"/>
        <w:rPr>
          <w:rFonts w:ascii="Arial" w:hAnsi="Arial" w:cs="Arial"/>
          <w:b/>
          <w:iCs/>
          <w:sz w:val="24"/>
          <w:szCs w:val="24"/>
          <w:u w:val="single"/>
        </w:rPr>
      </w:pPr>
      <w:r w:rsidRPr="00D22A4D">
        <w:rPr>
          <w:rFonts w:ascii="Arial" w:hAnsi="Arial" w:cs="Arial"/>
          <w:b/>
          <w:iCs/>
          <w:sz w:val="24"/>
          <w:szCs w:val="24"/>
          <w:u w:val="single"/>
        </w:rPr>
        <w:t>ALUMNA:</w:t>
      </w:r>
    </w:p>
    <w:p w14:paraId="7469236A" w14:textId="77777777" w:rsidR="004C1264" w:rsidRPr="00D22A4D" w:rsidRDefault="004C1264" w:rsidP="004C1264">
      <w:pPr>
        <w:pStyle w:val="Prrafodelista"/>
        <w:numPr>
          <w:ilvl w:val="0"/>
          <w:numId w:val="7"/>
        </w:numPr>
        <w:spacing w:line="360" w:lineRule="auto"/>
        <w:jc w:val="both"/>
        <w:textDirection w:val="btLr"/>
        <w:rPr>
          <w:rFonts w:ascii="Arial" w:hAnsi="Arial" w:cs="Arial"/>
          <w:b/>
        </w:rPr>
      </w:pPr>
      <w:r w:rsidRPr="00D22A4D">
        <w:rPr>
          <w:rFonts w:ascii="Arial" w:hAnsi="Arial" w:cs="Arial"/>
          <w:b/>
        </w:rPr>
        <w:t>CYNTHIA MARÍA TERESA SANABRIA VAZQUEZ</w:t>
      </w:r>
    </w:p>
    <w:p w14:paraId="00808722" w14:textId="77777777" w:rsidR="004C1264" w:rsidRPr="00D22A4D" w:rsidRDefault="004C1264" w:rsidP="004C1264">
      <w:pPr>
        <w:spacing w:line="360" w:lineRule="auto"/>
        <w:jc w:val="both"/>
        <w:rPr>
          <w:rFonts w:ascii="Arial" w:hAnsi="Arial" w:cs="Arial"/>
          <w:b/>
          <w:sz w:val="24"/>
          <w:szCs w:val="24"/>
        </w:rPr>
      </w:pPr>
    </w:p>
    <w:p w14:paraId="5DCCCCEF" w14:textId="484790E7" w:rsidR="004C1264" w:rsidRPr="00D22A4D" w:rsidRDefault="004C1264" w:rsidP="004C1264">
      <w:pPr>
        <w:spacing w:line="360" w:lineRule="auto"/>
        <w:ind w:left="2127" w:hanging="2127"/>
        <w:jc w:val="both"/>
        <w:rPr>
          <w:rFonts w:ascii="Arial" w:hAnsi="Arial" w:cs="Arial"/>
          <w:b/>
          <w:sz w:val="24"/>
          <w:szCs w:val="24"/>
        </w:rPr>
      </w:pPr>
      <w:r>
        <w:rPr>
          <w:rFonts w:ascii="Arial" w:hAnsi="Arial" w:cs="Arial"/>
          <w:b/>
          <w:sz w:val="24"/>
          <w:szCs w:val="24"/>
          <w:u w:val="single"/>
        </w:rPr>
        <w:t>CURSO</w:t>
      </w:r>
      <w:r w:rsidRPr="00D22A4D">
        <w:rPr>
          <w:rFonts w:ascii="Arial" w:hAnsi="Arial" w:cs="Arial"/>
          <w:b/>
          <w:sz w:val="24"/>
          <w:szCs w:val="24"/>
          <w:u w:val="single"/>
        </w:rPr>
        <w:t>:</w:t>
      </w:r>
      <w:r w:rsidRPr="00D22A4D">
        <w:rPr>
          <w:rFonts w:ascii="Arial" w:hAnsi="Arial" w:cs="Arial"/>
          <w:b/>
          <w:sz w:val="24"/>
          <w:szCs w:val="24"/>
        </w:rPr>
        <w:t xml:space="preserve"> </w:t>
      </w:r>
      <w:r>
        <w:rPr>
          <w:rFonts w:ascii="Arial" w:hAnsi="Arial" w:cs="Arial"/>
          <w:b/>
          <w:sz w:val="24"/>
          <w:szCs w:val="24"/>
        </w:rPr>
        <w:tab/>
      </w:r>
      <w:r w:rsidRPr="004C1264">
        <w:rPr>
          <w:rFonts w:ascii="Arial" w:hAnsi="Arial" w:cs="Arial"/>
          <w:b/>
          <w:sz w:val="24"/>
          <w:szCs w:val="24"/>
        </w:rPr>
        <w:t>CERTIFICACIÓN INTERNACIONAL EN PREVENCIÓN DE LAVADO DE ACTIVOS Y FINANCIAMIENTO AL TERRORISMO.</w:t>
      </w:r>
    </w:p>
    <w:p w14:paraId="14DEE5C3" w14:textId="3DA9B0C8" w:rsidR="004C1264" w:rsidRPr="00D22A4D" w:rsidRDefault="004C1264" w:rsidP="004C1264">
      <w:pPr>
        <w:spacing w:line="360" w:lineRule="auto"/>
        <w:ind w:left="2124" w:hanging="2124"/>
        <w:jc w:val="both"/>
        <w:rPr>
          <w:rFonts w:ascii="Arial" w:hAnsi="Arial" w:cs="Arial"/>
          <w:b/>
          <w:sz w:val="24"/>
          <w:szCs w:val="24"/>
        </w:rPr>
      </w:pPr>
      <w:r w:rsidRPr="00D22A4D">
        <w:rPr>
          <w:rFonts w:ascii="Arial" w:hAnsi="Arial" w:cs="Arial"/>
          <w:b/>
          <w:sz w:val="24"/>
          <w:szCs w:val="24"/>
          <w:u w:val="single"/>
        </w:rPr>
        <w:t>MÓDULO</w:t>
      </w:r>
      <w:r>
        <w:rPr>
          <w:rFonts w:ascii="Arial" w:hAnsi="Arial" w:cs="Arial"/>
          <w:b/>
          <w:sz w:val="24"/>
          <w:szCs w:val="24"/>
          <w:u w:val="single"/>
        </w:rPr>
        <w:t xml:space="preserve"> 5</w:t>
      </w:r>
      <w:r w:rsidRPr="00D22A4D">
        <w:rPr>
          <w:rFonts w:ascii="Arial" w:hAnsi="Arial" w:cs="Arial"/>
          <w:b/>
          <w:sz w:val="24"/>
          <w:szCs w:val="24"/>
        </w:rPr>
        <w:t xml:space="preserve">: </w:t>
      </w:r>
      <w:r>
        <w:rPr>
          <w:rFonts w:ascii="Arial" w:hAnsi="Arial" w:cs="Arial"/>
          <w:b/>
          <w:sz w:val="24"/>
          <w:szCs w:val="24"/>
        </w:rPr>
        <w:tab/>
        <w:t>FINANCIACION DEL TERRORISMO DESDE LA PERSPECTIVA INTERNACIONAL</w:t>
      </w:r>
    </w:p>
    <w:p w14:paraId="46212F39" w14:textId="05A88465" w:rsidR="004C1264" w:rsidRDefault="004C1264" w:rsidP="004C1264">
      <w:pPr>
        <w:spacing w:line="360" w:lineRule="auto"/>
        <w:jc w:val="both"/>
        <w:rPr>
          <w:rFonts w:ascii="Arial" w:hAnsi="Arial" w:cs="Arial"/>
          <w:b/>
          <w:sz w:val="24"/>
          <w:szCs w:val="24"/>
        </w:rPr>
      </w:pPr>
      <w:r>
        <w:rPr>
          <w:rFonts w:ascii="Arial" w:hAnsi="Arial" w:cs="Arial"/>
          <w:b/>
          <w:sz w:val="24"/>
          <w:szCs w:val="24"/>
          <w:u w:val="single"/>
        </w:rPr>
        <w:t>INSTRUCTOR</w:t>
      </w:r>
      <w:r w:rsidRPr="00D22A4D">
        <w:rPr>
          <w:rFonts w:ascii="Arial" w:hAnsi="Arial" w:cs="Arial"/>
          <w:b/>
          <w:sz w:val="24"/>
          <w:szCs w:val="24"/>
          <w:u w:val="single"/>
        </w:rPr>
        <w:t>:</w:t>
      </w:r>
      <w:r w:rsidRPr="004C1264">
        <w:rPr>
          <w:rFonts w:ascii="Arial" w:hAnsi="Arial" w:cs="Arial"/>
          <w:b/>
          <w:sz w:val="24"/>
          <w:szCs w:val="24"/>
        </w:rPr>
        <w:t xml:space="preserve">  </w:t>
      </w:r>
      <w:r>
        <w:rPr>
          <w:rFonts w:ascii="Arial" w:hAnsi="Arial" w:cs="Arial"/>
          <w:b/>
          <w:sz w:val="24"/>
          <w:szCs w:val="24"/>
        </w:rPr>
        <w:tab/>
      </w:r>
      <w:r w:rsidRPr="004C1264">
        <w:rPr>
          <w:rFonts w:ascii="Arial" w:hAnsi="Arial" w:cs="Arial"/>
          <w:b/>
          <w:sz w:val="24"/>
          <w:szCs w:val="24"/>
        </w:rPr>
        <w:t>RAYMOND VILLANUEVA</w:t>
      </w:r>
    </w:p>
    <w:p w14:paraId="021D7F31" w14:textId="77777777" w:rsidR="004C1264" w:rsidRPr="00D22A4D" w:rsidRDefault="004C1264" w:rsidP="004C1264">
      <w:pPr>
        <w:spacing w:line="360" w:lineRule="auto"/>
        <w:jc w:val="both"/>
        <w:rPr>
          <w:rFonts w:ascii="Arial" w:hAnsi="Arial" w:cs="Arial"/>
          <w:b/>
          <w:sz w:val="24"/>
          <w:szCs w:val="24"/>
        </w:rPr>
      </w:pPr>
    </w:p>
    <w:p w14:paraId="40A53A57" w14:textId="213C5D2E" w:rsidR="004C1264" w:rsidRDefault="004C1264" w:rsidP="004C1264">
      <w:pPr>
        <w:spacing w:line="360" w:lineRule="auto"/>
        <w:jc w:val="center"/>
        <w:rPr>
          <w:rFonts w:ascii="Arial" w:hAnsi="Arial" w:cs="Arial"/>
          <w:b/>
          <w:sz w:val="24"/>
          <w:szCs w:val="24"/>
        </w:rPr>
      </w:pPr>
      <w:r>
        <w:rPr>
          <w:rFonts w:ascii="Arial" w:hAnsi="Arial" w:cs="Arial"/>
          <w:b/>
          <w:sz w:val="24"/>
          <w:szCs w:val="24"/>
        </w:rPr>
        <w:t>ASUNCION</w:t>
      </w:r>
      <w:r w:rsidRPr="00D22A4D">
        <w:rPr>
          <w:rFonts w:ascii="Arial" w:hAnsi="Arial" w:cs="Arial"/>
          <w:b/>
          <w:sz w:val="24"/>
          <w:szCs w:val="24"/>
        </w:rPr>
        <w:t xml:space="preserve"> – PARAGUAY</w:t>
      </w:r>
    </w:p>
    <w:p w14:paraId="1DBBF6A6" w14:textId="77777777" w:rsidR="004C1264" w:rsidRPr="00D22A4D" w:rsidRDefault="004C1264" w:rsidP="004C1264">
      <w:pPr>
        <w:spacing w:line="360" w:lineRule="auto"/>
        <w:jc w:val="center"/>
        <w:rPr>
          <w:rFonts w:ascii="Arial" w:hAnsi="Arial" w:cs="Arial"/>
          <w:b/>
          <w:sz w:val="24"/>
          <w:szCs w:val="24"/>
        </w:rPr>
      </w:pPr>
    </w:p>
    <w:p w14:paraId="4EF1FD05" w14:textId="0B0E5CF3" w:rsidR="004C1264" w:rsidRPr="00D22A4D" w:rsidRDefault="004C1264" w:rsidP="004C1264">
      <w:pPr>
        <w:spacing w:line="360" w:lineRule="auto"/>
        <w:jc w:val="center"/>
        <w:rPr>
          <w:rFonts w:ascii="Arial" w:hAnsi="Arial" w:cs="Arial"/>
          <w:b/>
          <w:sz w:val="24"/>
          <w:szCs w:val="24"/>
        </w:rPr>
      </w:pPr>
      <w:r>
        <w:rPr>
          <w:rFonts w:ascii="Arial" w:hAnsi="Arial" w:cs="Arial"/>
          <w:b/>
          <w:sz w:val="24"/>
          <w:szCs w:val="24"/>
        </w:rPr>
        <w:t>AGOSTO</w:t>
      </w:r>
      <w:r w:rsidRPr="00D22A4D">
        <w:rPr>
          <w:rFonts w:ascii="Arial" w:hAnsi="Arial" w:cs="Arial"/>
          <w:b/>
          <w:sz w:val="24"/>
          <w:szCs w:val="24"/>
        </w:rPr>
        <w:t>, 2025</w:t>
      </w:r>
    </w:p>
    <w:p w14:paraId="2BE3D054" w14:textId="5DBBFD5B" w:rsidR="00BE10F9" w:rsidRPr="004C1264" w:rsidRDefault="00BE10F9" w:rsidP="004C1264"/>
    <w:p w14:paraId="0FF379E8" w14:textId="0A9877B3" w:rsidR="00BE10F9" w:rsidRPr="004C1264" w:rsidRDefault="00BE10F9" w:rsidP="004C1264"/>
    <w:sdt>
      <w:sdtPr>
        <w:rPr>
          <w:rFonts w:ascii="Arial" w:eastAsiaTheme="minorHAnsi" w:hAnsi="Arial" w:cs="Arial"/>
          <w:color w:val="auto"/>
          <w:sz w:val="24"/>
          <w:szCs w:val="24"/>
          <w:lang w:val="es-ES" w:eastAsia="en-US"/>
        </w:rPr>
        <w:id w:val="-589691405"/>
        <w:docPartObj>
          <w:docPartGallery w:val="Table of Contents"/>
          <w:docPartUnique/>
        </w:docPartObj>
      </w:sdtPr>
      <w:sdtEndPr>
        <w:rPr>
          <w:b/>
          <w:bCs/>
        </w:rPr>
      </w:sdtEndPr>
      <w:sdtContent>
        <w:p w14:paraId="65256E6C" w14:textId="7E2E02D3" w:rsidR="00BE10F9" w:rsidRPr="00471230" w:rsidRDefault="00BE10F9" w:rsidP="00A313F7">
          <w:pPr>
            <w:pStyle w:val="TtuloTDC"/>
            <w:spacing w:line="360" w:lineRule="auto"/>
            <w:rPr>
              <w:rFonts w:ascii="Arial" w:hAnsi="Arial" w:cs="Arial"/>
              <w:color w:val="auto"/>
              <w:sz w:val="24"/>
              <w:szCs w:val="24"/>
            </w:rPr>
          </w:pPr>
          <w:r w:rsidRPr="00471230">
            <w:rPr>
              <w:rFonts w:ascii="Arial" w:hAnsi="Arial" w:cs="Arial"/>
              <w:color w:val="auto"/>
              <w:sz w:val="24"/>
              <w:szCs w:val="24"/>
              <w:lang w:val="es-ES"/>
            </w:rPr>
            <w:t>Contenido</w:t>
          </w:r>
        </w:p>
        <w:p w14:paraId="34F40355" w14:textId="230B9BDB" w:rsidR="000A18A8" w:rsidRDefault="00BE10F9">
          <w:pPr>
            <w:pStyle w:val="TDC1"/>
            <w:tabs>
              <w:tab w:val="right" w:leader="dot" w:pos="8494"/>
            </w:tabs>
            <w:rPr>
              <w:rFonts w:eastAsiaTheme="minorEastAsia"/>
              <w:noProof/>
              <w:lang w:val="es-MX" w:eastAsia="es-MX"/>
            </w:rPr>
          </w:pPr>
          <w:r w:rsidRPr="00A313F7">
            <w:rPr>
              <w:rFonts w:ascii="Arial" w:hAnsi="Arial" w:cs="Arial"/>
              <w:sz w:val="24"/>
              <w:szCs w:val="24"/>
            </w:rPr>
            <w:fldChar w:fldCharType="begin"/>
          </w:r>
          <w:r w:rsidRPr="00A313F7">
            <w:rPr>
              <w:rFonts w:ascii="Arial" w:hAnsi="Arial" w:cs="Arial"/>
              <w:sz w:val="24"/>
              <w:szCs w:val="24"/>
            </w:rPr>
            <w:instrText xml:space="preserve"> TOC \o "1-3" \h \z \u </w:instrText>
          </w:r>
          <w:r w:rsidRPr="00A313F7">
            <w:rPr>
              <w:rFonts w:ascii="Arial" w:hAnsi="Arial" w:cs="Arial"/>
              <w:sz w:val="24"/>
              <w:szCs w:val="24"/>
            </w:rPr>
            <w:fldChar w:fldCharType="separate"/>
          </w:r>
          <w:hyperlink w:anchor="_Toc205218653" w:history="1">
            <w:r w:rsidR="000A18A8" w:rsidRPr="001F1B12">
              <w:rPr>
                <w:rStyle w:val="Hipervnculo"/>
                <w:noProof/>
              </w:rPr>
              <w:t>Introducción</w:t>
            </w:r>
            <w:r w:rsidR="000A18A8">
              <w:rPr>
                <w:noProof/>
                <w:webHidden/>
              </w:rPr>
              <w:tab/>
            </w:r>
            <w:r w:rsidR="000A18A8">
              <w:rPr>
                <w:noProof/>
                <w:webHidden/>
              </w:rPr>
              <w:fldChar w:fldCharType="begin"/>
            </w:r>
            <w:r w:rsidR="000A18A8">
              <w:rPr>
                <w:noProof/>
                <w:webHidden/>
              </w:rPr>
              <w:instrText xml:space="preserve"> PAGEREF _Toc205218653 \h </w:instrText>
            </w:r>
            <w:r w:rsidR="000A18A8">
              <w:rPr>
                <w:noProof/>
                <w:webHidden/>
              </w:rPr>
            </w:r>
            <w:r w:rsidR="000A18A8">
              <w:rPr>
                <w:noProof/>
                <w:webHidden/>
              </w:rPr>
              <w:fldChar w:fldCharType="separate"/>
            </w:r>
            <w:r w:rsidR="009E5D44">
              <w:rPr>
                <w:noProof/>
                <w:webHidden/>
              </w:rPr>
              <w:t>3</w:t>
            </w:r>
            <w:r w:rsidR="000A18A8">
              <w:rPr>
                <w:noProof/>
                <w:webHidden/>
              </w:rPr>
              <w:fldChar w:fldCharType="end"/>
            </w:r>
          </w:hyperlink>
        </w:p>
        <w:p w14:paraId="1030A960" w14:textId="5943E35C" w:rsidR="000A18A8" w:rsidRDefault="00732414">
          <w:pPr>
            <w:pStyle w:val="TDC1"/>
            <w:tabs>
              <w:tab w:val="right" w:leader="dot" w:pos="8494"/>
            </w:tabs>
            <w:rPr>
              <w:rFonts w:eastAsiaTheme="minorEastAsia"/>
              <w:noProof/>
              <w:lang w:val="es-MX" w:eastAsia="es-MX"/>
            </w:rPr>
          </w:pPr>
          <w:hyperlink w:anchor="_Toc205218654" w:history="1">
            <w:r w:rsidR="000A18A8" w:rsidRPr="001F1B12">
              <w:rPr>
                <w:rStyle w:val="Hipervnculo"/>
                <w:rFonts w:ascii="Arial" w:hAnsi="Arial" w:cs="Arial"/>
                <w:noProof/>
              </w:rPr>
              <w:t>Desarrollo</w:t>
            </w:r>
            <w:r w:rsidR="000A18A8">
              <w:rPr>
                <w:noProof/>
                <w:webHidden/>
              </w:rPr>
              <w:tab/>
            </w:r>
            <w:r w:rsidR="000A18A8">
              <w:rPr>
                <w:noProof/>
                <w:webHidden/>
              </w:rPr>
              <w:fldChar w:fldCharType="begin"/>
            </w:r>
            <w:r w:rsidR="000A18A8">
              <w:rPr>
                <w:noProof/>
                <w:webHidden/>
              </w:rPr>
              <w:instrText xml:space="preserve"> PAGEREF _Toc205218654 \h </w:instrText>
            </w:r>
            <w:r w:rsidR="000A18A8">
              <w:rPr>
                <w:noProof/>
                <w:webHidden/>
              </w:rPr>
            </w:r>
            <w:r w:rsidR="000A18A8">
              <w:rPr>
                <w:noProof/>
                <w:webHidden/>
              </w:rPr>
              <w:fldChar w:fldCharType="separate"/>
            </w:r>
            <w:r w:rsidR="009E5D44">
              <w:rPr>
                <w:noProof/>
                <w:webHidden/>
              </w:rPr>
              <w:t>4</w:t>
            </w:r>
            <w:r w:rsidR="000A18A8">
              <w:rPr>
                <w:noProof/>
                <w:webHidden/>
              </w:rPr>
              <w:fldChar w:fldCharType="end"/>
            </w:r>
          </w:hyperlink>
        </w:p>
        <w:p w14:paraId="35DE8504" w14:textId="7919B6AC" w:rsidR="000A18A8" w:rsidRDefault="00732414">
          <w:pPr>
            <w:pStyle w:val="TDC2"/>
            <w:tabs>
              <w:tab w:val="right" w:leader="dot" w:pos="8494"/>
            </w:tabs>
            <w:rPr>
              <w:rFonts w:eastAsiaTheme="minorEastAsia"/>
              <w:noProof/>
              <w:lang w:val="es-MX" w:eastAsia="es-MX"/>
            </w:rPr>
          </w:pPr>
          <w:hyperlink w:anchor="_Toc205218655" w:history="1">
            <w:r w:rsidR="000A18A8" w:rsidRPr="001F1B12">
              <w:rPr>
                <w:rStyle w:val="Hipervnculo"/>
                <w:rFonts w:ascii="Arial" w:hAnsi="Arial" w:cs="Arial"/>
                <w:noProof/>
              </w:rPr>
              <w:t>I. GAFI y su influencia en la estructura normativa paraguaya</w:t>
            </w:r>
            <w:r w:rsidR="000A18A8">
              <w:rPr>
                <w:noProof/>
                <w:webHidden/>
              </w:rPr>
              <w:tab/>
            </w:r>
            <w:r w:rsidR="000A18A8">
              <w:rPr>
                <w:noProof/>
                <w:webHidden/>
              </w:rPr>
              <w:fldChar w:fldCharType="begin"/>
            </w:r>
            <w:r w:rsidR="000A18A8">
              <w:rPr>
                <w:noProof/>
                <w:webHidden/>
              </w:rPr>
              <w:instrText xml:space="preserve"> PAGEREF _Toc205218655 \h </w:instrText>
            </w:r>
            <w:r w:rsidR="000A18A8">
              <w:rPr>
                <w:noProof/>
                <w:webHidden/>
              </w:rPr>
            </w:r>
            <w:r w:rsidR="000A18A8">
              <w:rPr>
                <w:noProof/>
                <w:webHidden/>
              </w:rPr>
              <w:fldChar w:fldCharType="separate"/>
            </w:r>
            <w:r w:rsidR="009E5D44">
              <w:rPr>
                <w:noProof/>
                <w:webHidden/>
              </w:rPr>
              <w:t>4</w:t>
            </w:r>
            <w:r w:rsidR="000A18A8">
              <w:rPr>
                <w:noProof/>
                <w:webHidden/>
              </w:rPr>
              <w:fldChar w:fldCharType="end"/>
            </w:r>
          </w:hyperlink>
        </w:p>
        <w:p w14:paraId="34A1CCAF" w14:textId="1540197A" w:rsidR="000A18A8" w:rsidRDefault="00732414">
          <w:pPr>
            <w:pStyle w:val="TDC2"/>
            <w:tabs>
              <w:tab w:val="right" w:leader="dot" w:pos="8494"/>
            </w:tabs>
            <w:rPr>
              <w:rFonts w:eastAsiaTheme="minorEastAsia"/>
              <w:noProof/>
              <w:lang w:val="es-MX" w:eastAsia="es-MX"/>
            </w:rPr>
          </w:pPr>
          <w:hyperlink w:anchor="_Toc205218656" w:history="1">
            <w:r w:rsidR="000A18A8" w:rsidRPr="001F1B12">
              <w:rPr>
                <w:rStyle w:val="Hipervnculo"/>
                <w:rFonts w:ascii="Arial" w:hAnsi="Arial" w:cs="Arial"/>
                <w:noProof/>
              </w:rPr>
              <w:t>II. Adecuación del Código Penal: tipificación y sanciones</w:t>
            </w:r>
            <w:r w:rsidR="000A18A8">
              <w:rPr>
                <w:noProof/>
                <w:webHidden/>
              </w:rPr>
              <w:tab/>
            </w:r>
            <w:r w:rsidR="000A18A8">
              <w:rPr>
                <w:noProof/>
                <w:webHidden/>
              </w:rPr>
              <w:fldChar w:fldCharType="begin"/>
            </w:r>
            <w:r w:rsidR="000A18A8">
              <w:rPr>
                <w:noProof/>
                <w:webHidden/>
              </w:rPr>
              <w:instrText xml:space="preserve"> PAGEREF _Toc205218656 \h </w:instrText>
            </w:r>
            <w:r w:rsidR="000A18A8">
              <w:rPr>
                <w:noProof/>
                <w:webHidden/>
              </w:rPr>
            </w:r>
            <w:r w:rsidR="000A18A8">
              <w:rPr>
                <w:noProof/>
                <w:webHidden/>
              </w:rPr>
              <w:fldChar w:fldCharType="separate"/>
            </w:r>
            <w:r w:rsidR="009E5D44">
              <w:rPr>
                <w:noProof/>
                <w:webHidden/>
              </w:rPr>
              <w:t>4</w:t>
            </w:r>
            <w:r w:rsidR="000A18A8">
              <w:rPr>
                <w:noProof/>
                <w:webHidden/>
              </w:rPr>
              <w:fldChar w:fldCharType="end"/>
            </w:r>
          </w:hyperlink>
        </w:p>
        <w:p w14:paraId="3E36346F" w14:textId="384ECA15" w:rsidR="000A18A8" w:rsidRDefault="00732414">
          <w:pPr>
            <w:pStyle w:val="TDC2"/>
            <w:tabs>
              <w:tab w:val="right" w:leader="dot" w:pos="8494"/>
            </w:tabs>
            <w:rPr>
              <w:rFonts w:eastAsiaTheme="minorEastAsia"/>
              <w:noProof/>
              <w:lang w:val="es-MX" w:eastAsia="es-MX"/>
            </w:rPr>
          </w:pPr>
          <w:hyperlink w:anchor="_Toc205218657" w:history="1">
            <w:r w:rsidR="000A18A8" w:rsidRPr="001F1B12">
              <w:rPr>
                <w:rStyle w:val="Hipervnculo"/>
                <w:rFonts w:ascii="Arial" w:hAnsi="Arial" w:cs="Arial"/>
                <w:noProof/>
              </w:rPr>
              <w:t>III. Supervisión, sanciones administrativas y enfoque basado en riesgo</w:t>
            </w:r>
            <w:r w:rsidR="000A18A8">
              <w:rPr>
                <w:noProof/>
                <w:webHidden/>
              </w:rPr>
              <w:tab/>
            </w:r>
            <w:r w:rsidR="000A18A8">
              <w:rPr>
                <w:noProof/>
                <w:webHidden/>
              </w:rPr>
              <w:fldChar w:fldCharType="begin"/>
            </w:r>
            <w:r w:rsidR="000A18A8">
              <w:rPr>
                <w:noProof/>
                <w:webHidden/>
              </w:rPr>
              <w:instrText xml:space="preserve"> PAGEREF _Toc205218657 \h </w:instrText>
            </w:r>
            <w:r w:rsidR="000A18A8">
              <w:rPr>
                <w:noProof/>
                <w:webHidden/>
              </w:rPr>
            </w:r>
            <w:r w:rsidR="000A18A8">
              <w:rPr>
                <w:noProof/>
                <w:webHidden/>
              </w:rPr>
              <w:fldChar w:fldCharType="separate"/>
            </w:r>
            <w:r w:rsidR="009E5D44">
              <w:rPr>
                <w:noProof/>
                <w:webHidden/>
              </w:rPr>
              <w:t>4</w:t>
            </w:r>
            <w:r w:rsidR="000A18A8">
              <w:rPr>
                <w:noProof/>
                <w:webHidden/>
              </w:rPr>
              <w:fldChar w:fldCharType="end"/>
            </w:r>
          </w:hyperlink>
        </w:p>
        <w:p w14:paraId="40865E84" w14:textId="66626ECA" w:rsidR="000A18A8" w:rsidRDefault="00732414">
          <w:pPr>
            <w:pStyle w:val="TDC2"/>
            <w:tabs>
              <w:tab w:val="right" w:leader="dot" w:pos="8494"/>
            </w:tabs>
            <w:rPr>
              <w:rFonts w:eastAsiaTheme="minorEastAsia"/>
              <w:noProof/>
              <w:lang w:val="es-MX" w:eastAsia="es-MX"/>
            </w:rPr>
          </w:pPr>
          <w:hyperlink w:anchor="_Toc205218658" w:history="1">
            <w:r w:rsidR="000A18A8" w:rsidRPr="001F1B12">
              <w:rPr>
                <w:rStyle w:val="Hipervnculo"/>
                <w:rFonts w:ascii="Arial" w:hAnsi="Arial" w:cs="Arial"/>
                <w:noProof/>
              </w:rPr>
              <w:t>IV. Transparencia y beneficiario final</w:t>
            </w:r>
            <w:r w:rsidR="000A18A8">
              <w:rPr>
                <w:noProof/>
                <w:webHidden/>
              </w:rPr>
              <w:tab/>
            </w:r>
            <w:r w:rsidR="000A18A8">
              <w:rPr>
                <w:noProof/>
                <w:webHidden/>
              </w:rPr>
              <w:fldChar w:fldCharType="begin"/>
            </w:r>
            <w:r w:rsidR="000A18A8">
              <w:rPr>
                <w:noProof/>
                <w:webHidden/>
              </w:rPr>
              <w:instrText xml:space="preserve"> PAGEREF _Toc205218658 \h </w:instrText>
            </w:r>
            <w:r w:rsidR="000A18A8">
              <w:rPr>
                <w:noProof/>
                <w:webHidden/>
              </w:rPr>
            </w:r>
            <w:r w:rsidR="000A18A8">
              <w:rPr>
                <w:noProof/>
                <w:webHidden/>
              </w:rPr>
              <w:fldChar w:fldCharType="separate"/>
            </w:r>
            <w:r w:rsidR="009E5D44">
              <w:rPr>
                <w:noProof/>
                <w:webHidden/>
              </w:rPr>
              <w:t>5</w:t>
            </w:r>
            <w:r w:rsidR="000A18A8">
              <w:rPr>
                <w:noProof/>
                <w:webHidden/>
              </w:rPr>
              <w:fldChar w:fldCharType="end"/>
            </w:r>
          </w:hyperlink>
        </w:p>
        <w:p w14:paraId="7DE4BFC5" w14:textId="0524EBDA" w:rsidR="000A18A8" w:rsidRDefault="00732414">
          <w:pPr>
            <w:pStyle w:val="TDC2"/>
            <w:tabs>
              <w:tab w:val="right" w:leader="dot" w:pos="8494"/>
            </w:tabs>
            <w:rPr>
              <w:rFonts w:eastAsiaTheme="minorEastAsia"/>
              <w:noProof/>
              <w:lang w:val="es-MX" w:eastAsia="es-MX"/>
            </w:rPr>
          </w:pPr>
          <w:hyperlink w:anchor="_Toc205218659" w:history="1">
            <w:r w:rsidR="000A18A8" w:rsidRPr="001F1B12">
              <w:rPr>
                <w:rStyle w:val="Hipervnculo"/>
                <w:rFonts w:ascii="Arial" w:hAnsi="Arial" w:cs="Arial"/>
                <w:noProof/>
              </w:rPr>
              <w:t>V. Cooperación internacional e intercambio de información</w:t>
            </w:r>
            <w:r w:rsidR="000A18A8">
              <w:rPr>
                <w:noProof/>
                <w:webHidden/>
              </w:rPr>
              <w:tab/>
            </w:r>
            <w:r w:rsidR="000A18A8">
              <w:rPr>
                <w:noProof/>
                <w:webHidden/>
              </w:rPr>
              <w:fldChar w:fldCharType="begin"/>
            </w:r>
            <w:r w:rsidR="000A18A8">
              <w:rPr>
                <w:noProof/>
                <w:webHidden/>
              </w:rPr>
              <w:instrText xml:space="preserve"> PAGEREF _Toc205218659 \h </w:instrText>
            </w:r>
            <w:r w:rsidR="000A18A8">
              <w:rPr>
                <w:noProof/>
                <w:webHidden/>
              </w:rPr>
            </w:r>
            <w:r w:rsidR="000A18A8">
              <w:rPr>
                <w:noProof/>
                <w:webHidden/>
              </w:rPr>
              <w:fldChar w:fldCharType="separate"/>
            </w:r>
            <w:r w:rsidR="009E5D44">
              <w:rPr>
                <w:noProof/>
                <w:webHidden/>
              </w:rPr>
              <w:t>5</w:t>
            </w:r>
            <w:r w:rsidR="000A18A8">
              <w:rPr>
                <w:noProof/>
                <w:webHidden/>
              </w:rPr>
              <w:fldChar w:fldCharType="end"/>
            </w:r>
          </w:hyperlink>
        </w:p>
        <w:p w14:paraId="4B9DF641" w14:textId="562E2B5F" w:rsidR="000A18A8" w:rsidRDefault="00732414">
          <w:pPr>
            <w:pStyle w:val="TDC2"/>
            <w:tabs>
              <w:tab w:val="right" w:leader="dot" w:pos="8494"/>
            </w:tabs>
            <w:rPr>
              <w:rFonts w:eastAsiaTheme="minorEastAsia"/>
              <w:noProof/>
              <w:lang w:val="es-MX" w:eastAsia="es-MX"/>
            </w:rPr>
          </w:pPr>
          <w:hyperlink w:anchor="_Toc205218660" w:history="1">
            <w:r w:rsidR="000A18A8" w:rsidRPr="001F1B12">
              <w:rPr>
                <w:rStyle w:val="Hipervnculo"/>
                <w:rFonts w:ascii="Arial" w:hAnsi="Arial" w:cs="Arial"/>
                <w:noProof/>
              </w:rPr>
              <w:t>VI. Modelos internacionales no mencionados expresamente, pero aplicados funcionalmente</w:t>
            </w:r>
            <w:r w:rsidR="000A18A8">
              <w:rPr>
                <w:noProof/>
                <w:webHidden/>
              </w:rPr>
              <w:tab/>
            </w:r>
            <w:r w:rsidR="000A18A8">
              <w:rPr>
                <w:noProof/>
                <w:webHidden/>
              </w:rPr>
              <w:fldChar w:fldCharType="begin"/>
            </w:r>
            <w:r w:rsidR="000A18A8">
              <w:rPr>
                <w:noProof/>
                <w:webHidden/>
              </w:rPr>
              <w:instrText xml:space="preserve"> PAGEREF _Toc205218660 \h </w:instrText>
            </w:r>
            <w:r w:rsidR="000A18A8">
              <w:rPr>
                <w:noProof/>
                <w:webHidden/>
              </w:rPr>
            </w:r>
            <w:r w:rsidR="000A18A8">
              <w:rPr>
                <w:noProof/>
                <w:webHidden/>
              </w:rPr>
              <w:fldChar w:fldCharType="separate"/>
            </w:r>
            <w:r w:rsidR="009E5D44">
              <w:rPr>
                <w:noProof/>
                <w:webHidden/>
              </w:rPr>
              <w:t>6</w:t>
            </w:r>
            <w:r w:rsidR="000A18A8">
              <w:rPr>
                <w:noProof/>
                <w:webHidden/>
              </w:rPr>
              <w:fldChar w:fldCharType="end"/>
            </w:r>
          </w:hyperlink>
        </w:p>
        <w:p w14:paraId="05FD080A" w14:textId="50F16FD0" w:rsidR="000A18A8" w:rsidRDefault="00732414">
          <w:pPr>
            <w:pStyle w:val="TDC3"/>
            <w:tabs>
              <w:tab w:val="right" w:leader="dot" w:pos="8494"/>
            </w:tabs>
            <w:rPr>
              <w:rFonts w:eastAsiaTheme="minorEastAsia"/>
              <w:noProof/>
              <w:lang w:val="es-MX" w:eastAsia="es-MX"/>
            </w:rPr>
          </w:pPr>
          <w:hyperlink w:anchor="_Toc205218661" w:history="1">
            <w:r w:rsidR="000A18A8" w:rsidRPr="001F1B12">
              <w:rPr>
                <w:rStyle w:val="Hipervnculo"/>
                <w:rFonts w:ascii="Arial" w:hAnsi="Arial" w:cs="Arial"/>
                <w:noProof/>
              </w:rPr>
              <w:t>1. Modelo SAGRILAFT (Colombia) y su correspondencia en Paraguay</w:t>
            </w:r>
            <w:r w:rsidR="000A18A8">
              <w:rPr>
                <w:noProof/>
                <w:webHidden/>
              </w:rPr>
              <w:tab/>
            </w:r>
            <w:r w:rsidR="000A18A8">
              <w:rPr>
                <w:noProof/>
                <w:webHidden/>
              </w:rPr>
              <w:fldChar w:fldCharType="begin"/>
            </w:r>
            <w:r w:rsidR="000A18A8">
              <w:rPr>
                <w:noProof/>
                <w:webHidden/>
              </w:rPr>
              <w:instrText xml:space="preserve"> PAGEREF _Toc205218661 \h </w:instrText>
            </w:r>
            <w:r w:rsidR="000A18A8">
              <w:rPr>
                <w:noProof/>
                <w:webHidden/>
              </w:rPr>
            </w:r>
            <w:r w:rsidR="000A18A8">
              <w:rPr>
                <w:noProof/>
                <w:webHidden/>
              </w:rPr>
              <w:fldChar w:fldCharType="separate"/>
            </w:r>
            <w:r w:rsidR="009E5D44">
              <w:rPr>
                <w:noProof/>
                <w:webHidden/>
              </w:rPr>
              <w:t>6</w:t>
            </w:r>
            <w:r w:rsidR="000A18A8">
              <w:rPr>
                <w:noProof/>
                <w:webHidden/>
              </w:rPr>
              <w:fldChar w:fldCharType="end"/>
            </w:r>
          </w:hyperlink>
        </w:p>
        <w:p w14:paraId="572A14BD" w14:textId="1F1387D6" w:rsidR="000A18A8" w:rsidRDefault="00732414">
          <w:pPr>
            <w:pStyle w:val="TDC3"/>
            <w:tabs>
              <w:tab w:val="right" w:leader="dot" w:pos="8494"/>
            </w:tabs>
            <w:rPr>
              <w:rFonts w:eastAsiaTheme="minorEastAsia"/>
              <w:noProof/>
              <w:lang w:val="es-MX" w:eastAsia="es-MX"/>
            </w:rPr>
          </w:pPr>
          <w:hyperlink w:anchor="_Toc205218662" w:history="1">
            <w:r w:rsidR="000A18A8" w:rsidRPr="001F1B12">
              <w:rPr>
                <w:rStyle w:val="Hipervnculo"/>
                <w:rFonts w:ascii="Arial" w:eastAsia="Times New Roman" w:hAnsi="Arial" w:cs="Arial"/>
                <w:noProof/>
                <w:lang w:val="es-MX" w:eastAsia="es-MX"/>
              </w:rPr>
              <w:t>2. Modelo COSO y su paralelismo en la normativa paraguaya</w:t>
            </w:r>
            <w:r w:rsidR="000A18A8">
              <w:rPr>
                <w:noProof/>
                <w:webHidden/>
              </w:rPr>
              <w:tab/>
            </w:r>
            <w:r w:rsidR="000A18A8">
              <w:rPr>
                <w:noProof/>
                <w:webHidden/>
              </w:rPr>
              <w:fldChar w:fldCharType="begin"/>
            </w:r>
            <w:r w:rsidR="000A18A8">
              <w:rPr>
                <w:noProof/>
                <w:webHidden/>
              </w:rPr>
              <w:instrText xml:space="preserve"> PAGEREF _Toc205218662 \h </w:instrText>
            </w:r>
            <w:r w:rsidR="000A18A8">
              <w:rPr>
                <w:noProof/>
                <w:webHidden/>
              </w:rPr>
            </w:r>
            <w:r w:rsidR="000A18A8">
              <w:rPr>
                <w:noProof/>
                <w:webHidden/>
              </w:rPr>
              <w:fldChar w:fldCharType="separate"/>
            </w:r>
            <w:r w:rsidR="009E5D44">
              <w:rPr>
                <w:noProof/>
                <w:webHidden/>
              </w:rPr>
              <w:t>6</w:t>
            </w:r>
            <w:r w:rsidR="000A18A8">
              <w:rPr>
                <w:noProof/>
                <w:webHidden/>
              </w:rPr>
              <w:fldChar w:fldCharType="end"/>
            </w:r>
          </w:hyperlink>
        </w:p>
        <w:p w14:paraId="046A7DD7" w14:textId="2AEFB680" w:rsidR="000A18A8" w:rsidRDefault="00732414">
          <w:pPr>
            <w:pStyle w:val="TDC3"/>
            <w:tabs>
              <w:tab w:val="right" w:leader="dot" w:pos="8494"/>
            </w:tabs>
            <w:rPr>
              <w:rFonts w:eastAsiaTheme="minorEastAsia"/>
              <w:noProof/>
              <w:lang w:val="es-MX" w:eastAsia="es-MX"/>
            </w:rPr>
          </w:pPr>
          <w:hyperlink w:anchor="_Toc205218663" w:history="1">
            <w:r w:rsidR="000A18A8" w:rsidRPr="001F1B12">
              <w:rPr>
                <w:rStyle w:val="Hipervnculo"/>
                <w:rFonts w:ascii="Arial" w:eastAsia="Times New Roman" w:hAnsi="Arial" w:cs="Arial"/>
                <w:noProof/>
                <w:lang w:val="es-MX" w:eastAsia="es-MX"/>
              </w:rPr>
              <w:t>3. Grupo Wolfsberg: estándares para el sector financiero</w:t>
            </w:r>
            <w:r w:rsidR="000A18A8">
              <w:rPr>
                <w:noProof/>
                <w:webHidden/>
              </w:rPr>
              <w:tab/>
            </w:r>
            <w:r w:rsidR="000A18A8">
              <w:rPr>
                <w:noProof/>
                <w:webHidden/>
              </w:rPr>
              <w:fldChar w:fldCharType="begin"/>
            </w:r>
            <w:r w:rsidR="000A18A8">
              <w:rPr>
                <w:noProof/>
                <w:webHidden/>
              </w:rPr>
              <w:instrText xml:space="preserve"> PAGEREF _Toc205218663 \h </w:instrText>
            </w:r>
            <w:r w:rsidR="000A18A8">
              <w:rPr>
                <w:noProof/>
                <w:webHidden/>
              </w:rPr>
            </w:r>
            <w:r w:rsidR="000A18A8">
              <w:rPr>
                <w:noProof/>
                <w:webHidden/>
              </w:rPr>
              <w:fldChar w:fldCharType="separate"/>
            </w:r>
            <w:r w:rsidR="009E5D44">
              <w:rPr>
                <w:noProof/>
                <w:webHidden/>
              </w:rPr>
              <w:t>7</w:t>
            </w:r>
            <w:r w:rsidR="000A18A8">
              <w:rPr>
                <w:noProof/>
                <w:webHidden/>
              </w:rPr>
              <w:fldChar w:fldCharType="end"/>
            </w:r>
          </w:hyperlink>
        </w:p>
        <w:p w14:paraId="046A5928" w14:textId="2B50A507" w:rsidR="000A18A8" w:rsidRDefault="00732414">
          <w:pPr>
            <w:pStyle w:val="TDC3"/>
            <w:tabs>
              <w:tab w:val="right" w:leader="dot" w:pos="8494"/>
            </w:tabs>
            <w:rPr>
              <w:rFonts w:eastAsiaTheme="minorEastAsia"/>
              <w:noProof/>
              <w:lang w:val="es-MX" w:eastAsia="es-MX"/>
            </w:rPr>
          </w:pPr>
          <w:hyperlink w:anchor="_Toc205218664" w:history="1">
            <w:r w:rsidR="000A18A8" w:rsidRPr="001F1B12">
              <w:rPr>
                <w:rStyle w:val="Hipervnculo"/>
                <w:rFonts w:ascii="Arial" w:eastAsia="Times New Roman" w:hAnsi="Arial" w:cs="Arial"/>
                <w:noProof/>
                <w:lang w:val="es-MX" w:eastAsia="es-MX"/>
              </w:rPr>
              <w:t>4. Comité de Supervisión Bancaria de Basilea</w:t>
            </w:r>
            <w:r w:rsidR="000A18A8">
              <w:rPr>
                <w:noProof/>
                <w:webHidden/>
              </w:rPr>
              <w:tab/>
            </w:r>
            <w:r w:rsidR="000A18A8">
              <w:rPr>
                <w:noProof/>
                <w:webHidden/>
              </w:rPr>
              <w:fldChar w:fldCharType="begin"/>
            </w:r>
            <w:r w:rsidR="000A18A8">
              <w:rPr>
                <w:noProof/>
                <w:webHidden/>
              </w:rPr>
              <w:instrText xml:space="preserve"> PAGEREF _Toc205218664 \h </w:instrText>
            </w:r>
            <w:r w:rsidR="000A18A8">
              <w:rPr>
                <w:noProof/>
                <w:webHidden/>
              </w:rPr>
            </w:r>
            <w:r w:rsidR="000A18A8">
              <w:rPr>
                <w:noProof/>
                <w:webHidden/>
              </w:rPr>
              <w:fldChar w:fldCharType="separate"/>
            </w:r>
            <w:r w:rsidR="009E5D44">
              <w:rPr>
                <w:noProof/>
                <w:webHidden/>
              </w:rPr>
              <w:t>7</w:t>
            </w:r>
            <w:r w:rsidR="000A18A8">
              <w:rPr>
                <w:noProof/>
                <w:webHidden/>
              </w:rPr>
              <w:fldChar w:fldCharType="end"/>
            </w:r>
          </w:hyperlink>
        </w:p>
        <w:p w14:paraId="7EEB01E9" w14:textId="243B35A0" w:rsidR="000A18A8" w:rsidRDefault="00732414">
          <w:pPr>
            <w:pStyle w:val="TDC3"/>
            <w:tabs>
              <w:tab w:val="right" w:leader="dot" w:pos="8494"/>
            </w:tabs>
            <w:rPr>
              <w:rFonts w:eastAsiaTheme="minorEastAsia"/>
              <w:noProof/>
              <w:lang w:val="es-MX" w:eastAsia="es-MX"/>
            </w:rPr>
          </w:pPr>
          <w:hyperlink w:anchor="_Toc205218665" w:history="1">
            <w:r w:rsidR="000A18A8" w:rsidRPr="001F1B12">
              <w:rPr>
                <w:rStyle w:val="Hipervnculo"/>
                <w:rFonts w:ascii="Arial" w:eastAsia="Times New Roman" w:hAnsi="Arial" w:cs="Arial"/>
                <w:noProof/>
                <w:lang w:val="es-MX" w:eastAsia="es-MX"/>
              </w:rPr>
              <w:t>5. Influencias normativas de la UE y EE.UU.</w:t>
            </w:r>
            <w:r w:rsidR="000A18A8">
              <w:rPr>
                <w:noProof/>
                <w:webHidden/>
              </w:rPr>
              <w:tab/>
            </w:r>
            <w:r w:rsidR="000A18A8">
              <w:rPr>
                <w:noProof/>
                <w:webHidden/>
              </w:rPr>
              <w:fldChar w:fldCharType="begin"/>
            </w:r>
            <w:r w:rsidR="000A18A8">
              <w:rPr>
                <w:noProof/>
                <w:webHidden/>
              </w:rPr>
              <w:instrText xml:space="preserve"> PAGEREF _Toc205218665 \h </w:instrText>
            </w:r>
            <w:r w:rsidR="000A18A8">
              <w:rPr>
                <w:noProof/>
                <w:webHidden/>
              </w:rPr>
            </w:r>
            <w:r w:rsidR="000A18A8">
              <w:rPr>
                <w:noProof/>
                <w:webHidden/>
              </w:rPr>
              <w:fldChar w:fldCharType="separate"/>
            </w:r>
            <w:r w:rsidR="009E5D44">
              <w:rPr>
                <w:noProof/>
                <w:webHidden/>
              </w:rPr>
              <w:t>8</w:t>
            </w:r>
            <w:r w:rsidR="000A18A8">
              <w:rPr>
                <w:noProof/>
                <w:webHidden/>
              </w:rPr>
              <w:fldChar w:fldCharType="end"/>
            </w:r>
          </w:hyperlink>
        </w:p>
        <w:p w14:paraId="18B53232" w14:textId="1D0198C6" w:rsidR="000A18A8" w:rsidRDefault="00732414">
          <w:pPr>
            <w:pStyle w:val="TDC1"/>
            <w:tabs>
              <w:tab w:val="right" w:leader="dot" w:pos="8494"/>
            </w:tabs>
            <w:rPr>
              <w:rFonts w:eastAsiaTheme="minorEastAsia"/>
              <w:noProof/>
              <w:lang w:val="es-MX" w:eastAsia="es-MX"/>
            </w:rPr>
          </w:pPr>
          <w:hyperlink w:anchor="_Toc205218666" w:history="1">
            <w:r w:rsidR="000A18A8" w:rsidRPr="001F1B12">
              <w:rPr>
                <w:rStyle w:val="Hipervnculo"/>
                <w:rFonts w:ascii="Arial" w:eastAsia="Times New Roman" w:hAnsi="Arial" w:cs="Arial"/>
                <w:noProof/>
                <w:lang w:val="es-MX"/>
              </w:rPr>
              <w:t>Conclusión</w:t>
            </w:r>
            <w:r w:rsidR="000A18A8">
              <w:rPr>
                <w:noProof/>
                <w:webHidden/>
              </w:rPr>
              <w:tab/>
            </w:r>
            <w:r w:rsidR="000A18A8">
              <w:rPr>
                <w:noProof/>
                <w:webHidden/>
              </w:rPr>
              <w:fldChar w:fldCharType="begin"/>
            </w:r>
            <w:r w:rsidR="000A18A8">
              <w:rPr>
                <w:noProof/>
                <w:webHidden/>
              </w:rPr>
              <w:instrText xml:space="preserve"> PAGEREF _Toc205218666 \h </w:instrText>
            </w:r>
            <w:r w:rsidR="000A18A8">
              <w:rPr>
                <w:noProof/>
                <w:webHidden/>
              </w:rPr>
            </w:r>
            <w:r w:rsidR="000A18A8">
              <w:rPr>
                <w:noProof/>
                <w:webHidden/>
              </w:rPr>
              <w:fldChar w:fldCharType="separate"/>
            </w:r>
            <w:r w:rsidR="009E5D44">
              <w:rPr>
                <w:noProof/>
                <w:webHidden/>
              </w:rPr>
              <w:t>9</w:t>
            </w:r>
            <w:r w:rsidR="000A18A8">
              <w:rPr>
                <w:noProof/>
                <w:webHidden/>
              </w:rPr>
              <w:fldChar w:fldCharType="end"/>
            </w:r>
          </w:hyperlink>
        </w:p>
        <w:p w14:paraId="680A1EC4" w14:textId="7A536707" w:rsidR="00BE10F9" w:rsidRPr="00A313F7" w:rsidRDefault="00BE10F9" w:rsidP="00A313F7">
          <w:pPr>
            <w:spacing w:line="360" w:lineRule="auto"/>
            <w:rPr>
              <w:rFonts w:ascii="Arial" w:hAnsi="Arial" w:cs="Arial"/>
              <w:sz w:val="24"/>
              <w:szCs w:val="24"/>
            </w:rPr>
          </w:pPr>
          <w:r w:rsidRPr="00A313F7">
            <w:rPr>
              <w:rFonts w:ascii="Arial" w:hAnsi="Arial" w:cs="Arial"/>
              <w:b/>
              <w:bCs/>
              <w:sz w:val="24"/>
              <w:szCs w:val="24"/>
              <w:lang w:val="es-ES"/>
            </w:rPr>
            <w:fldChar w:fldCharType="end"/>
          </w:r>
        </w:p>
      </w:sdtContent>
    </w:sdt>
    <w:p w14:paraId="1634CD45" w14:textId="482FFC77" w:rsidR="00BE10F9" w:rsidRPr="00A313F7" w:rsidRDefault="00BE10F9" w:rsidP="00A313F7"/>
    <w:p w14:paraId="73F54017" w14:textId="22A8A18D" w:rsidR="00BE10F9" w:rsidRPr="00A313F7" w:rsidRDefault="00BE10F9" w:rsidP="00A313F7"/>
    <w:p w14:paraId="3A4A66FB" w14:textId="1DCEC321" w:rsidR="00BE10F9" w:rsidRDefault="00BE10F9" w:rsidP="00A313F7"/>
    <w:p w14:paraId="202082F3" w14:textId="5F6ABB76" w:rsidR="000A18A8" w:rsidRDefault="000A18A8" w:rsidP="00A313F7"/>
    <w:p w14:paraId="1CA69262" w14:textId="2F418252" w:rsidR="000A18A8" w:rsidRDefault="000A18A8" w:rsidP="00A313F7"/>
    <w:p w14:paraId="7F315BD4" w14:textId="4BDB129F" w:rsidR="000A18A8" w:rsidRDefault="000A18A8" w:rsidP="00A313F7"/>
    <w:p w14:paraId="2E662911" w14:textId="25B5DA46" w:rsidR="000A18A8" w:rsidRDefault="000A18A8" w:rsidP="00A313F7"/>
    <w:p w14:paraId="4C8373D7" w14:textId="489A37F5" w:rsidR="000A18A8" w:rsidRDefault="000A18A8" w:rsidP="00A313F7"/>
    <w:p w14:paraId="5F61877F" w14:textId="0C138B10" w:rsidR="000A18A8" w:rsidRDefault="000A18A8" w:rsidP="00A313F7"/>
    <w:p w14:paraId="64CA96A3" w14:textId="498B2096" w:rsidR="000A18A8" w:rsidRDefault="000A18A8" w:rsidP="00A313F7"/>
    <w:p w14:paraId="796DE6FE" w14:textId="2F34A52B" w:rsidR="000A18A8" w:rsidRDefault="000A18A8" w:rsidP="00A313F7"/>
    <w:p w14:paraId="11B13B6A" w14:textId="77777777" w:rsidR="000A18A8" w:rsidRPr="00A313F7" w:rsidRDefault="000A18A8" w:rsidP="00A313F7"/>
    <w:p w14:paraId="5E13A996" w14:textId="77777777" w:rsidR="00443EC8" w:rsidRPr="000A18A8" w:rsidRDefault="00443EC8" w:rsidP="00A313F7">
      <w:pPr>
        <w:pStyle w:val="Ttulo1"/>
        <w:rPr>
          <w:color w:val="auto"/>
        </w:rPr>
      </w:pPr>
      <w:bookmarkStart w:id="0" w:name="_Toc205218653"/>
      <w:r w:rsidRPr="000A18A8">
        <w:rPr>
          <w:color w:val="auto"/>
        </w:rPr>
        <w:lastRenderedPageBreak/>
        <w:t>Introducción</w:t>
      </w:r>
      <w:bookmarkEnd w:id="0"/>
    </w:p>
    <w:p w14:paraId="335DB549" w14:textId="77777777" w:rsidR="00443EC8" w:rsidRPr="00A313F7" w:rsidRDefault="00443EC8" w:rsidP="00A313F7">
      <w:pPr>
        <w:pStyle w:val="NormalWeb"/>
        <w:spacing w:line="360" w:lineRule="auto"/>
        <w:jc w:val="both"/>
        <w:rPr>
          <w:rFonts w:ascii="Arial" w:hAnsi="Arial" w:cs="Arial"/>
        </w:rPr>
      </w:pPr>
      <w:r w:rsidRPr="00A313F7">
        <w:rPr>
          <w:rFonts w:ascii="Arial" w:hAnsi="Arial" w:cs="Arial"/>
        </w:rPr>
        <w:t>El Grupo de Acción Financiera Internacional (GAFI), creado en 1989, es el principal organismo internacional encargado de establecer estándares para combatir el lavado de activos (LA) y el financiamiento del terrorismo (FT). Sus 40 Recomendaciones son consideradas el marco normativo global en esta materia. La República del Paraguay, como miembro del GAFILAT (capítulo regional del GAFI en Latinoamérica), ha sido objeto de evaluaciones sucesivas que han condicionado y dirigido reformas significativas en su legislación interna.</w:t>
      </w:r>
    </w:p>
    <w:p w14:paraId="2D008A89" w14:textId="58328AF9" w:rsidR="00443EC8" w:rsidRPr="00A313F7" w:rsidRDefault="00443EC8" w:rsidP="00A313F7">
      <w:pPr>
        <w:pStyle w:val="NormalWeb"/>
        <w:spacing w:line="360" w:lineRule="auto"/>
        <w:jc w:val="both"/>
        <w:rPr>
          <w:rFonts w:ascii="Arial" w:hAnsi="Arial" w:cs="Arial"/>
        </w:rPr>
      </w:pPr>
      <w:r w:rsidRPr="00A313F7">
        <w:rPr>
          <w:rFonts w:ascii="Arial" w:hAnsi="Arial" w:cs="Arial"/>
        </w:rPr>
        <w:t>Este ensayo analiza el modo en que dichas recomendaciones han incidido sobre el marco normativo paraguayo, con especial énfasis en leyes clave como la Ley N.º 1015/97, la Ley N.º 3783/09, la Ley N.º 6424/19, y otras resoluciones de la SEPRELAD. Asimismo, se examina el impacto institucional y jurídico de la adaptación paraguaya a los estándares internacionales en materia de prevención de lavado de activos y financiamiento del terrorismo.</w:t>
      </w:r>
    </w:p>
    <w:p w14:paraId="260A5763" w14:textId="75C73E23" w:rsidR="00BE10F9" w:rsidRPr="00A313F7" w:rsidRDefault="00BE10F9" w:rsidP="00A313F7">
      <w:pPr>
        <w:pStyle w:val="NormalWeb"/>
        <w:spacing w:line="360" w:lineRule="auto"/>
        <w:jc w:val="both"/>
        <w:rPr>
          <w:rFonts w:ascii="Arial" w:hAnsi="Arial" w:cs="Arial"/>
        </w:rPr>
      </w:pPr>
    </w:p>
    <w:p w14:paraId="7EA8E475" w14:textId="30516985" w:rsidR="00BE10F9" w:rsidRPr="00A313F7" w:rsidRDefault="00BE10F9" w:rsidP="00A313F7">
      <w:pPr>
        <w:pStyle w:val="NormalWeb"/>
        <w:spacing w:line="360" w:lineRule="auto"/>
        <w:jc w:val="both"/>
        <w:rPr>
          <w:rFonts w:ascii="Arial" w:hAnsi="Arial" w:cs="Arial"/>
        </w:rPr>
      </w:pPr>
    </w:p>
    <w:p w14:paraId="3E49E776" w14:textId="34786D52" w:rsidR="00BE10F9" w:rsidRDefault="00BE10F9" w:rsidP="00A313F7">
      <w:pPr>
        <w:pStyle w:val="NormalWeb"/>
        <w:spacing w:line="360" w:lineRule="auto"/>
        <w:jc w:val="both"/>
        <w:rPr>
          <w:rFonts w:ascii="Arial" w:hAnsi="Arial" w:cs="Arial"/>
        </w:rPr>
      </w:pPr>
    </w:p>
    <w:p w14:paraId="0B06B1C4" w14:textId="77264557" w:rsidR="00A313F7" w:rsidRDefault="00A313F7" w:rsidP="00A313F7">
      <w:pPr>
        <w:pStyle w:val="NormalWeb"/>
        <w:spacing w:line="360" w:lineRule="auto"/>
        <w:jc w:val="both"/>
        <w:rPr>
          <w:rFonts w:ascii="Arial" w:hAnsi="Arial" w:cs="Arial"/>
        </w:rPr>
      </w:pPr>
    </w:p>
    <w:p w14:paraId="123F18A3" w14:textId="19A0ECC6" w:rsidR="00A313F7" w:rsidRDefault="00A313F7" w:rsidP="00A313F7">
      <w:pPr>
        <w:pStyle w:val="NormalWeb"/>
        <w:spacing w:line="360" w:lineRule="auto"/>
        <w:jc w:val="both"/>
        <w:rPr>
          <w:rFonts w:ascii="Arial" w:hAnsi="Arial" w:cs="Arial"/>
        </w:rPr>
      </w:pPr>
    </w:p>
    <w:p w14:paraId="4DA82D50" w14:textId="47DF378B" w:rsidR="00A313F7" w:rsidRDefault="00A313F7" w:rsidP="00A313F7">
      <w:pPr>
        <w:pStyle w:val="NormalWeb"/>
        <w:spacing w:line="360" w:lineRule="auto"/>
        <w:jc w:val="both"/>
        <w:rPr>
          <w:rFonts w:ascii="Arial" w:hAnsi="Arial" w:cs="Arial"/>
        </w:rPr>
      </w:pPr>
    </w:p>
    <w:p w14:paraId="5962B566" w14:textId="3AD5E518" w:rsidR="00A313F7" w:rsidRDefault="00A313F7" w:rsidP="00A313F7">
      <w:pPr>
        <w:pStyle w:val="NormalWeb"/>
        <w:spacing w:line="360" w:lineRule="auto"/>
        <w:jc w:val="both"/>
        <w:rPr>
          <w:rFonts w:ascii="Arial" w:hAnsi="Arial" w:cs="Arial"/>
        </w:rPr>
      </w:pPr>
    </w:p>
    <w:p w14:paraId="3AC297CB" w14:textId="56462AED" w:rsidR="00A313F7" w:rsidRDefault="00A313F7" w:rsidP="00A313F7">
      <w:pPr>
        <w:pStyle w:val="NormalWeb"/>
        <w:spacing w:line="360" w:lineRule="auto"/>
        <w:jc w:val="both"/>
        <w:rPr>
          <w:rFonts w:ascii="Arial" w:hAnsi="Arial" w:cs="Arial"/>
        </w:rPr>
      </w:pPr>
    </w:p>
    <w:p w14:paraId="5CE99A51" w14:textId="08D1F590" w:rsidR="00A313F7" w:rsidRDefault="00A313F7" w:rsidP="00A313F7">
      <w:pPr>
        <w:pStyle w:val="NormalWeb"/>
        <w:spacing w:line="360" w:lineRule="auto"/>
        <w:jc w:val="both"/>
        <w:rPr>
          <w:rFonts w:ascii="Arial" w:hAnsi="Arial" w:cs="Arial"/>
        </w:rPr>
      </w:pPr>
    </w:p>
    <w:p w14:paraId="79C64A82" w14:textId="77777777" w:rsidR="00A313F7" w:rsidRPr="00A313F7" w:rsidRDefault="00A313F7" w:rsidP="00A313F7">
      <w:pPr>
        <w:pStyle w:val="NormalWeb"/>
        <w:spacing w:line="360" w:lineRule="auto"/>
        <w:jc w:val="both"/>
        <w:rPr>
          <w:rFonts w:ascii="Arial" w:hAnsi="Arial" w:cs="Arial"/>
        </w:rPr>
      </w:pPr>
    </w:p>
    <w:p w14:paraId="4DE6D997" w14:textId="2C364DF9" w:rsidR="00BE10F9" w:rsidRPr="00A313F7" w:rsidRDefault="00BE10F9" w:rsidP="00A313F7">
      <w:pPr>
        <w:pStyle w:val="NormalWeb"/>
        <w:spacing w:line="360" w:lineRule="auto"/>
        <w:jc w:val="both"/>
        <w:rPr>
          <w:rFonts w:ascii="Arial" w:hAnsi="Arial" w:cs="Arial"/>
        </w:rPr>
      </w:pPr>
    </w:p>
    <w:p w14:paraId="3A5A1450" w14:textId="5AFAC7D8" w:rsidR="00BE10F9" w:rsidRPr="00A313F7" w:rsidRDefault="00BE10F9" w:rsidP="00A313F7">
      <w:pPr>
        <w:pStyle w:val="Ttulo1"/>
        <w:spacing w:line="360" w:lineRule="auto"/>
        <w:rPr>
          <w:rFonts w:ascii="Arial" w:hAnsi="Arial" w:cs="Arial"/>
          <w:color w:val="auto"/>
          <w:sz w:val="24"/>
          <w:szCs w:val="24"/>
        </w:rPr>
      </w:pPr>
      <w:bookmarkStart w:id="1" w:name="_Toc205218654"/>
      <w:r w:rsidRPr="00A313F7">
        <w:rPr>
          <w:rFonts w:ascii="Arial" w:hAnsi="Arial" w:cs="Arial"/>
          <w:color w:val="auto"/>
          <w:sz w:val="24"/>
          <w:szCs w:val="24"/>
        </w:rPr>
        <w:lastRenderedPageBreak/>
        <w:t>Desarrollo</w:t>
      </w:r>
      <w:bookmarkEnd w:id="1"/>
    </w:p>
    <w:p w14:paraId="08CF7B85" w14:textId="77777777" w:rsidR="00443EC8" w:rsidRPr="00A313F7" w:rsidRDefault="00443EC8" w:rsidP="000A18A8">
      <w:pPr>
        <w:pStyle w:val="Ttulo2"/>
      </w:pPr>
      <w:bookmarkStart w:id="2" w:name="_Toc205218655"/>
      <w:r w:rsidRPr="00A313F7">
        <w:rPr>
          <w:rStyle w:val="Textoennegrita"/>
          <w:rFonts w:ascii="Arial" w:hAnsi="Arial" w:cs="Arial"/>
          <w:b w:val="0"/>
          <w:bCs w:val="0"/>
          <w:sz w:val="24"/>
          <w:szCs w:val="24"/>
        </w:rPr>
        <w:t>I. GAFI y su influencia en la estructura normativa paraguaya</w:t>
      </w:r>
      <w:bookmarkEnd w:id="2"/>
    </w:p>
    <w:p w14:paraId="1AC25750" w14:textId="77777777" w:rsidR="00443EC8" w:rsidRPr="00A313F7" w:rsidRDefault="00443EC8" w:rsidP="00A313F7">
      <w:pPr>
        <w:pStyle w:val="NormalWeb"/>
        <w:spacing w:line="360" w:lineRule="auto"/>
        <w:jc w:val="both"/>
        <w:rPr>
          <w:rFonts w:ascii="Arial" w:hAnsi="Arial" w:cs="Arial"/>
        </w:rPr>
      </w:pPr>
      <w:r w:rsidRPr="00A313F7">
        <w:rPr>
          <w:rFonts w:ascii="Arial" w:hAnsi="Arial" w:cs="Arial"/>
        </w:rPr>
        <w:t>Desde la promulgación de la Ley N.º 1015/97, Paraguay comenzó un proceso de adecuación normativa. Esta ley, que previene y reprime los actos ilícitos destinados a la legitimación de dinero o bienes, constituyó la primera base legal integral en materia de PLA/FT. Sin embargo, tras sucesivas evaluaciones negativas por parte del GAFILAT, fue necesario reformar dicha norma mediante la Ley N.º 3783/09. Esta modificación introdujo definiciones más precisas del delito de lavado, los sujetos obligados, y los mecanismos de supervisión.</w:t>
      </w:r>
    </w:p>
    <w:p w14:paraId="2C9C622B" w14:textId="77777777" w:rsidR="00443EC8" w:rsidRPr="00A313F7" w:rsidRDefault="00443EC8" w:rsidP="00A313F7">
      <w:pPr>
        <w:pStyle w:val="NormalWeb"/>
        <w:spacing w:line="360" w:lineRule="auto"/>
        <w:jc w:val="both"/>
        <w:rPr>
          <w:rFonts w:ascii="Arial" w:hAnsi="Arial" w:cs="Arial"/>
        </w:rPr>
      </w:pPr>
      <w:r w:rsidRPr="00A313F7">
        <w:rPr>
          <w:rFonts w:ascii="Arial" w:hAnsi="Arial" w:cs="Arial"/>
        </w:rPr>
        <w:t>En términos sustantivos, el Art. 13 de la Ley 1015/97, modificado por la Ley 3783/09, establece la obligación de reportar operaciones sospechosas (ROS), en consonancia con la Recomendación 20 del GAFI. Esta obligación es central en la arquitectura preventiva y constituye una piedra angular del sistema de detección temprana de operaciones vinculadas al LA/FT.</w:t>
      </w:r>
    </w:p>
    <w:p w14:paraId="066ED7C1" w14:textId="77777777" w:rsidR="00443EC8" w:rsidRPr="00A313F7" w:rsidRDefault="00443EC8" w:rsidP="000A18A8">
      <w:pPr>
        <w:pStyle w:val="Ttulo2"/>
      </w:pPr>
      <w:bookmarkStart w:id="3" w:name="_Toc205218656"/>
      <w:r w:rsidRPr="00A313F7">
        <w:rPr>
          <w:rStyle w:val="Textoennegrita"/>
          <w:rFonts w:ascii="Arial" w:hAnsi="Arial" w:cs="Arial"/>
          <w:b w:val="0"/>
          <w:bCs w:val="0"/>
          <w:sz w:val="24"/>
          <w:szCs w:val="24"/>
        </w:rPr>
        <w:t>II. Adecuación del Código Penal: tipificación y sanciones</w:t>
      </w:r>
      <w:bookmarkEnd w:id="3"/>
    </w:p>
    <w:p w14:paraId="6557A934" w14:textId="77777777" w:rsidR="00443EC8" w:rsidRPr="00A313F7" w:rsidRDefault="00443EC8" w:rsidP="00A313F7">
      <w:pPr>
        <w:pStyle w:val="NormalWeb"/>
        <w:spacing w:line="360" w:lineRule="auto"/>
        <w:jc w:val="both"/>
        <w:rPr>
          <w:rFonts w:ascii="Arial" w:hAnsi="Arial" w:cs="Arial"/>
        </w:rPr>
      </w:pPr>
      <w:r w:rsidRPr="00A313F7">
        <w:rPr>
          <w:rFonts w:ascii="Arial" w:hAnsi="Arial" w:cs="Arial"/>
        </w:rPr>
        <w:t>En el ámbito penal, la influencia del GAFI se refleja directamente en la tipificación del delito de lavado de activos en el Art. 196 del Código Penal paraguayo. Esta norma establece el lavado de activos como un delito autónomo, es decir, no requiere la existencia previa de una condena por el delito precedente. Además, permite la persecución del LA aun cuando el hecho antecedente haya ocurrido fuera del país, dando cumplimiento a las Recomendaciones 3 y 4 del GAFI.</w:t>
      </w:r>
    </w:p>
    <w:p w14:paraId="6F032287" w14:textId="77777777" w:rsidR="00443EC8" w:rsidRPr="00A313F7" w:rsidRDefault="00443EC8" w:rsidP="00A313F7">
      <w:pPr>
        <w:pStyle w:val="NormalWeb"/>
        <w:spacing w:line="360" w:lineRule="auto"/>
        <w:jc w:val="both"/>
        <w:rPr>
          <w:rFonts w:ascii="Arial" w:hAnsi="Arial" w:cs="Arial"/>
        </w:rPr>
      </w:pPr>
      <w:r w:rsidRPr="00A313F7">
        <w:rPr>
          <w:rFonts w:ascii="Arial" w:hAnsi="Arial" w:cs="Arial"/>
        </w:rPr>
        <w:t>El Art. 14 del mismo cuerpo legal, al definir "hecho antijurídico" y "reprochabilidad", permite articular adecuadamente las circunstancias del LA/FT en contextos complejos, como la actuación a través de testaferros, representantes legales o estructuras empresariales.</w:t>
      </w:r>
    </w:p>
    <w:p w14:paraId="665091CC" w14:textId="77777777" w:rsidR="00443EC8" w:rsidRPr="00A313F7" w:rsidRDefault="00443EC8" w:rsidP="000A18A8">
      <w:pPr>
        <w:pStyle w:val="Ttulo2"/>
      </w:pPr>
      <w:bookmarkStart w:id="4" w:name="_Toc205218657"/>
      <w:r w:rsidRPr="00A313F7">
        <w:rPr>
          <w:rStyle w:val="Textoennegrita"/>
          <w:rFonts w:ascii="Arial" w:hAnsi="Arial" w:cs="Arial"/>
          <w:b w:val="0"/>
          <w:bCs w:val="0"/>
          <w:sz w:val="24"/>
          <w:szCs w:val="24"/>
        </w:rPr>
        <w:t>III. Supervisión, sanciones administrativas y enfoque basado en riesgo</w:t>
      </w:r>
      <w:bookmarkEnd w:id="4"/>
    </w:p>
    <w:p w14:paraId="3BF62995" w14:textId="77777777" w:rsidR="00443EC8" w:rsidRPr="00A313F7" w:rsidRDefault="00443EC8" w:rsidP="00A313F7">
      <w:pPr>
        <w:pStyle w:val="NormalWeb"/>
        <w:spacing w:line="360" w:lineRule="auto"/>
        <w:jc w:val="both"/>
        <w:rPr>
          <w:rFonts w:ascii="Arial" w:hAnsi="Arial" w:cs="Arial"/>
        </w:rPr>
      </w:pPr>
      <w:r w:rsidRPr="00A313F7">
        <w:rPr>
          <w:rFonts w:ascii="Arial" w:hAnsi="Arial" w:cs="Arial"/>
        </w:rPr>
        <w:t xml:space="preserve">La Ley N.º 6424/19, que establece el nuevo marco sancionatorio para la SEPRELAD, representa un hito clave. Esta norma fortalece las facultades del </w:t>
      </w:r>
      <w:r w:rsidRPr="00A313F7">
        <w:rPr>
          <w:rFonts w:ascii="Arial" w:hAnsi="Arial" w:cs="Arial"/>
        </w:rPr>
        <w:lastRenderedPageBreak/>
        <w:t>regulador al permitir la imposición de multas administrativas, la suspensión de actividades, e incluso la inhabilitación para operar dentro del sistema financiero y no financiero. Todo esto se ajusta a la Recomendación 27 del GAFI sobre poderes de supervisión efectivos y proporcionados.</w:t>
      </w:r>
    </w:p>
    <w:p w14:paraId="6DA6173D" w14:textId="3CE29BF6" w:rsidR="00443EC8" w:rsidRPr="00A313F7" w:rsidRDefault="00443EC8" w:rsidP="00A313F7">
      <w:pPr>
        <w:pStyle w:val="NormalWeb"/>
        <w:spacing w:line="360" w:lineRule="auto"/>
        <w:jc w:val="both"/>
        <w:rPr>
          <w:rFonts w:ascii="Arial" w:hAnsi="Arial" w:cs="Arial"/>
        </w:rPr>
      </w:pPr>
      <w:r w:rsidRPr="00A313F7">
        <w:rPr>
          <w:rFonts w:ascii="Arial" w:hAnsi="Arial" w:cs="Arial"/>
        </w:rPr>
        <w:t>Complementariamente, la</w:t>
      </w:r>
      <w:r w:rsidR="000A18A8">
        <w:rPr>
          <w:rFonts w:ascii="Arial" w:hAnsi="Arial" w:cs="Arial"/>
        </w:rPr>
        <w:t>s</w:t>
      </w:r>
      <w:r w:rsidRPr="00A313F7">
        <w:rPr>
          <w:rFonts w:ascii="Arial" w:hAnsi="Arial" w:cs="Arial"/>
        </w:rPr>
        <w:t xml:space="preserve"> </w:t>
      </w:r>
      <w:r w:rsidR="000A18A8" w:rsidRPr="00A313F7">
        <w:rPr>
          <w:rFonts w:ascii="Arial" w:hAnsi="Arial" w:cs="Arial"/>
        </w:rPr>
        <w:t>Resolucion</w:t>
      </w:r>
      <w:r w:rsidR="000A18A8">
        <w:rPr>
          <w:rFonts w:ascii="Arial" w:hAnsi="Arial" w:cs="Arial"/>
        </w:rPr>
        <w:t>es de la</w:t>
      </w:r>
      <w:r w:rsidR="000A18A8" w:rsidRPr="00A313F7">
        <w:rPr>
          <w:rFonts w:ascii="Arial" w:hAnsi="Arial" w:cs="Arial"/>
        </w:rPr>
        <w:t xml:space="preserve"> SEPRELAD </w:t>
      </w:r>
      <w:r w:rsidR="000A18A8">
        <w:rPr>
          <w:rFonts w:ascii="Arial" w:hAnsi="Arial" w:cs="Arial"/>
        </w:rPr>
        <w:t>aplicadas a los Sujetos Obligados,</w:t>
      </w:r>
      <w:r w:rsidR="000A18A8" w:rsidRPr="00A313F7">
        <w:rPr>
          <w:rFonts w:ascii="Arial" w:hAnsi="Arial" w:cs="Arial"/>
        </w:rPr>
        <w:t xml:space="preserve"> </w:t>
      </w:r>
      <w:r w:rsidRPr="00A313F7">
        <w:rPr>
          <w:rFonts w:ascii="Arial" w:hAnsi="Arial" w:cs="Arial"/>
        </w:rPr>
        <w:t xml:space="preserve">establece el Enfoque Basado en Riesgos (EBR) para los Sujetos Obligados Financieros, </w:t>
      </w:r>
      <w:r w:rsidR="000A18A8">
        <w:rPr>
          <w:rFonts w:ascii="Arial" w:hAnsi="Arial" w:cs="Arial"/>
        </w:rPr>
        <w:t xml:space="preserve">y </w:t>
      </w:r>
      <w:r w:rsidRPr="00A313F7">
        <w:rPr>
          <w:rFonts w:ascii="Arial" w:hAnsi="Arial" w:cs="Arial"/>
        </w:rPr>
        <w:t>no financiero. Esto responde a la Recomendación 1 del GAFI, que exige a los Estados evaluar sus riesgos y aplicar medidas proporcionales.</w:t>
      </w:r>
    </w:p>
    <w:p w14:paraId="17D65E66" w14:textId="77777777" w:rsidR="00443EC8" w:rsidRPr="00A313F7" w:rsidRDefault="00443EC8" w:rsidP="000A18A8">
      <w:pPr>
        <w:pStyle w:val="Ttulo2"/>
      </w:pPr>
      <w:bookmarkStart w:id="5" w:name="_Toc205218658"/>
      <w:r w:rsidRPr="00A313F7">
        <w:rPr>
          <w:rStyle w:val="Textoennegrita"/>
          <w:rFonts w:ascii="Arial" w:hAnsi="Arial" w:cs="Arial"/>
          <w:b w:val="0"/>
          <w:bCs w:val="0"/>
          <w:sz w:val="24"/>
          <w:szCs w:val="24"/>
        </w:rPr>
        <w:t>IV. Transparencia y beneficiario final</w:t>
      </w:r>
      <w:bookmarkEnd w:id="5"/>
    </w:p>
    <w:p w14:paraId="15F01D70" w14:textId="09BD84AD" w:rsidR="00443EC8" w:rsidRPr="00A313F7" w:rsidRDefault="00443EC8" w:rsidP="00A313F7">
      <w:pPr>
        <w:pStyle w:val="NormalWeb"/>
        <w:spacing w:line="360" w:lineRule="auto"/>
        <w:jc w:val="both"/>
        <w:rPr>
          <w:rFonts w:ascii="Arial" w:hAnsi="Arial" w:cs="Arial"/>
        </w:rPr>
      </w:pPr>
      <w:r w:rsidRPr="00A313F7">
        <w:rPr>
          <w:rFonts w:ascii="Arial" w:hAnsi="Arial" w:cs="Arial"/>
        </w:rPr>
        <w:t>Una de las mayores vulnerabilidades del sistema financiero global es la falta de transparencia sobre la propiedad efectiva de las entidades jurídicas. Por ello, la Recomendación 24 del GAFI exige a los Estados identificar al "beneficiario final". Paraguay incorporó esta exigencia en su ordenamiento a través de la</w:t>
      </w:r>
      <w:r w:rsidR="000A18A8">
        <w:rPr>
          <w:rFonts w:ascii="Arial" w:hAnsi="Arial" w:cs="Arial"/>
        </w:rPr>
        <w:t>s</w:t>
      </w:r>
      <w:r w:rsidRPr="00A313F7">
        <w:rPr>
          <w:rFonts w:ascii="Arial" w:hAnsi="Arial" w:cs="Arial"/>
        </w:rPr>
        <w:t xml:space="preserve"> </w:t>
      </w:r>
      <w:r w:rsidR="000A18A8" w:rsidRPr="00A313F7">
        <w:rPr>
          <w:rFonts w:ascii="Arial" w:hAnsi="Arial" w:cs="Arial"/>
        </w:rPr>
        <w:t>Resolucion</w:t>
      </w:r>
      <w:r w:rsidR="000A18A8">
        <w:rPr>
          <w:rFonts w:ascii="Arial" w:hAnsi="Arial" w:cs="Arial"/>
        </w:rPr>
        <w:t>es de la</w:t>
      </w:r>
      <w:r w:rsidRPr="00A313F7">
        <w:rPr>
          <w:rFonts w:ascii="Arial" w:hAnsi="Arial" w:cs="Arial"/>
        </w:rPr>
        <w:t xml:space="preserve"> SEPRELAD </w:t>
      </w:r>
      <w:r w:rsidR="000A18A8">
        <w:rPr>
          <w:rFonts w:ascii="Arial" w:hAnsi="Arial" w:cs="Arial"/>
        </w:rPr>
        <w:t>aplicadas a los Sujetos Obligados</w:t>
      </w:r>
      <w:r w:rsidRPr="00A313F7">
        <w:rPr>
          <w:rFonts w:ascii="Arial" w:hAnsi="Arial" w:cs="Arial"/>
        </w:rPr>
        <w:t>, que obliga a los sujetos obligados a obtener, conservar y actualizar información sobre los beneficiarios finales de las personas jurídicas con las que mantienen relaciones.</w:t>
      </w:r>
    </w:p>
    <w:p w14:paraId="37A615E0" w14:textId="77777777" w:rsidR="00443EC8" w:rsidRPr="00A313F7" w:rsidRDefault="00443EC8" w:rsidP="000A18A8">
      <w:pPr>
        <w:pStyle w:val="Ttulo2"/>
      </w:pPr>
      <w:bookmarkStart w:id="6" w:name="_Toc205218659"/>
      <w:r w:rsidRPr="00A313F7">
        <w:rPr>
          <w:rStyle w:val="Textoennegrita"/>
          <w:rFonts w:ascii="Arial" w:hAnsi="Arial" w:cs="Arial"/>
          <w:b w:val="0"/>
          <w:bCs w:val="0"/>
          <w:sz w:val="24"/>
          <w:szCs w:val="24"/>
        </w:rPr>
        <w:t>V. Cooperación internacional e intercambio de información</w:t>
      </w:r>
      <w:bookmarkEnd w:id="6"/>
    </w:p>
    <w:p w14:paraId="79A1F116" w14:textId="77777777" w:rsidR="00443EC8" w:rsidRPr="00A313F7" w:rsidRDefault="00443EC8" w:rsidP="00A313F7">
      <w:pPr>
        <w:pStyle w:val="NormalWeb"/>
        <w:spacing w:line="360" w:lineRule="auto"/>
        <w:jc w:val="both"/>
        <w:rPr>
          <w:rFonts w:ascii="Arial" w:hAnsi="Arial" w:cs="Arial"/>
        </w:rPr>
      </w:pPr>
      <w:r w:rsidRPr="00A313F7">
        <w:rPr>
          <w:rFonts w:ascii="Arial" w:hAnsi="Arial" w:cs="Arial"/>
        </w:rPr>
        <w:t xml:space="preserve">En cumplimiento de la Recomendación 40 del GAFI, Paraguay ha fortalecido los mecanismos de cooperación internacional. La SEPRELAD, a través de la Unidad de Inteligencia Financiera (UIF), mantiene acuerdos bilaterales y multilaterales para el intercambio de información con </w:t>
      </w:r>
      <w:proofErr w:type="spellStart"/>
      <w:r w:rsidRPr="00A313F7">
        <w:rPr>
          <w:rFonts w:ascii="Arial" w:hAnsi="Arial" w:cs="Arial"/>
        </w:rPr>
        <w:t>UIFs</w:t>
      </w:r>
      <w:proofErr w:type="spellEnd"/>
      <w:r w:rsidRPr="00A313F7">
        <w:rPr>
          <w:rFonts w:ascii="Arial" w:hAnsi="Arial" w:cs="Arial"/>
        </w:rPr>
        <w:t xml:space="preserve"> extranjeras. Además, se adhirieron tratados internacionales que obligan al país a brindar asistencia legal mutua en la investigación de delitos de LA/FT, como la Convención de Viena de 1988 y la Convención de Palermo de 2000.</w:t>
      </w:r>
    </w:p>
    <w:p w14:paraId="7EC5E65F" w14:textId="27B8C0FF" w:rsidR="00443EC8" w:rsidRPr="00A313F7" w:rsidRDefault="00443EC8" w:rsidP="000A18A8">
      <w:pPr>
        <w:pStyle w:val="Ttulo2"/>
      </w:pPr>
      <w:bookmarkStart w:id="7" w:name="_Toc205218660"/>
      <w:r w:rsidRPr="00A313F7">
        <w:rPr>
          <w:rStyle w:val="Textoennegrita"/>
          <w:rFonts w:ascii="Arial" w:hAnsi="Arial" w:cs="Arial"/>
          <w:b w:val="0"/>
          <w:bCs w:val="0"/>
          <w:sz w:val="24"/>
          <w:szCs w:val="24"/>
        </w:rPr>
        <w:lastRenderedPageBreak/>
        <w:t xml:space="preserve">VI. Modelos internacionales no mencionados </w:t>
      </w:r>
      <w:r w:rsidR="00BE10F9" w:rsidRPr="00A313F7">
        <w:rPr>
          <w:rStyle w:val="Textoennegrita"/>
          <w:rFonts w:ascii="Arial" w:hAnsi="Arial" w:cs="Arial"/>
          <w:b w:val="0"/>
          <w:bCs w:val="0"/>
          <w:sz w:val="24"/>
          <w:szCs w:val="24"/>
        </w:rPr>
        <w:t>expresamente,</w:t>
      </w:r>
      <w:r w:rsidRPr="00A313F7">
        <w:rPr>
          <w:rStyle w:val="Textoennegrita"/>
          <w:rFonts w:ascii="Arial" w:hAnsi="Arial" w:cs="Arial"/>
          <w:b w:val="0"/>
          <w:bCs w:val="0"/>
          <w:sz w:val="24"/>
          <w:szCs w:val="24"/>
        </w:rPr>
        <w:t xml:space="preserve"> pero aplicados funcionalmente</w:t>
      </w:r>
      <w:bookmarkEnd w:id="7"/>
    </w:p>
    <w:p w14:paraId="3FF34A31" w14:textId="59C1EC98" w:rsidR="0054037F" w:rsidRPr="0054037F" w:rsidRDefault="0054037F" w:rsidP="00A313F7">
      <w:pPr>
        <w:spacing w:before="100" w:beforeAutospacing="1" w:after="100" w:afterAutospacing="1" w:line="360" w:lineRule="auto"/>
        <w:jc w:val="both"/>
        <w:rPr>
          <w:rFonts w:ascii="Arial" w:eastAsia="Times New Roman" w:hAnsi="Arial" w:cs="Arial"/>
          <w:sz w:val="24"/>
          <w:szCs w:val="24"/>
          <w:lang w:val="es-MX" w:eastAsia="es-MX"/>
        </w:rPr>
      </w:pPr>
      <w:r w:rsidRPr="0054037F">
        <w:rPr>
          <w:rFonts w:ascii="Arial" w:eastAsia="Times New Roman" w:hAnsi="Arial" w:cs="Arial"/>
          <w:sz w:val="24"/>
          <w:szCs w:val="24"/>
          <w:lang w:val="es-MX" w:eastAsia="es-MX"/>
        </w:rPr>
        <w:t>Aunque SAGRILAFT y COSO</w:t>
      </w:r>
      <w:r w:rsidRPr="00A313F7">
        <w:rPr>
          <w:rFonts w:ascii="Arial" w:eastAsia="Times New Roman" w:hAnsi="Arial" w:cs="Arial"/>
          <w:sz w:val="24"/>
          <w:szCs w:val="24"/>
          <w:lang w:val="es-MX" w:eastAsia="es-MX"/>
        </w:rPr>
        <w:t xml:space="preserve">, </w:t>
      </w:r>
      <w:r w:rsidR="00BE10F9" w:rsidRPr="00A313F7">
        <w:rPr>
          <w:rFonts w:ascii="Arial" w:eastAsia="Times New Roman" w:hAnsi="Arial" w:cs="Arial"/>
          <w:sz w:val="24"/>
          <w:szCs w:val="24"/>
          <w:lang w:val="es-MX" w:eastAsia="es-MX"/>
        </w:rPr>
        <w:t>G</w:t>
      </w:r>
      <w:r w:rsidRPr="00A313F7">
        <w:rPr>
          <w:rFonts w:ascii="Arial" w:eastAsia="Times New Roman" w:hAnsi="Arial" w:cs="Arial"/>
          <w:sz w:val="24"/>
          <w:szCs w:val="24"/>
          <w:lang w:val="es-MX" w:eastAsia="es-MX"/>
        </w:rPr>
        <w:t xml:space="preserve">rupo </w:t>
      </w:r>
      <w:r w:rsidR="00BE10F9" w:rsidRPr="00A313F7">
        <w:rPr>
          <w:rFonts w:ascii="Arial" w:eastAsia="Times New Roman" w:hAnsi="Arial" w:cs="Arial"/>
          <w:sz w:val="24"/>
          <w:szCs w:val="24"/>
          <w:lang w:val="es-MX" w:eastAsia="es-MX"/>
        </w:rPr>
        <w:t>W</w:t>
      </w:r>
      <w:r w:rsidRPr="00A313F7">
        <w:rPr>
          <w:rFonts w:ascii="Arial" w:eastAsia="Times New Roman" w:hAnsi="Arial" w:cs="Arial"/>
          <w:sz w:val="24"/>
          <w:szCs w:val="24"/>
          <w:lang w:val="es-MX" w:eastAsia="es-MX"/>
        </w:rPr>
        <w:t>olfsberg, Comité de supervisión Bancaria Basilea, y Otras normativas internaciones EU -UE</w:t>
      </w:r>
      <w:r w:rsidRPr="0054037F">
        <w:rPr>
          <w:rFonts w:ascii="Arial" w:eastAsia="Times New Roman" w:hAnsi="Arial" w:cs="Arial"/>
          <w:sz w:val="24"/>
          <w:szCs w:val="24"/>
          <w:lang w:val="es-MX" w:eastAsia="es-MX"/>
        </w:rPr>
        <w:t xml:space="preserve"> no están mencionados explícitamente en las normas paraguayas que revisamos, sí es posible identificar elementos conceptuales y funcionales equivalentes en el marco regulatorio local. A </w:t>
      </w:r>
      <w:r w:rsidRPr="00A313F7">
        <w:rPr>
          <w:rFonts w:ascii="Arial" w:eastAsia="Times New Roman" w:hAnsi="Arial" w:cs="Arial"/>
          <w:sz w:val="24"/>
          <w:szCs w:val="24"/>
          <w:lang w:val="es-MX" w:eastAsia="es-MX"/>
        </w:rPr>
        <w:t>continuación,</w:t>
      </w:r>
      <w:r w:rsidRPr="0054037F">
        <w:rPr>
          <w:rFonts w:ascii="Arial" w:eastAsia="Times New Roman" w:hAnsi="Arial" w:cs="Arial"/>
          <w:sz w:val="24"/>
          <w:szCs w:val="24"/>
          <w:lang w:val="es-MX" w:eastAsia="es-MX"/>
        </w:rPr>
        <w:t xml:space="preserve"> te explico cómo se manifiestan estos modelos internacionales en la práctica normativa paraguaya:</w:t>
      </w:r>
    </w:p>
    <w:p w14:paraId="79B05486" w14:textId="77777777" w:rsidR="0054037F" w:rsidRPr="00A313F7" w:rsidRDefault="0054037F" w:rsidP="00A313F7">
      <w:pPr>
        <w:pStyle w:val="Ttulo3"/>
        <w:spacing w:line="360" w:lineRule="auto"/>
        <w:rPr>
          <w:rFonts w:ascii="Arial" w:hAnsi="Arial" w:cs="Arial"/>
          <w:b w:val="0"/>
          <w:bCs w:val="0"/>
          <w:sz w:val="24"/>
          <w:szCs w:val="24"/>
        </w:rPr>
      </w:pPr>
      <w:bookmarkStart w:id="8" w:name="_Toc205218661"/>
      <w:r w:rsidRPr="00A313F7">
        <w:rPr>
          <w:rFonts w:ascii="Arial" w:hAnsi="Arial" w:cs="Arial"/>
          <w:b w:val="0"/>
          <w:bCs w:val="0"/>
          <w:sz w:val="24"/>
          <w:szCs w:val="24"/>
        </w:rPr>
        <w:t>1. Modelo SAGRILAFT (Colombia) y su correspondencia en Paraguay</w:t>
      </w:r>
      <w:bookmarkEnd w:id="8"/>
    </w:p>
    <w:p w14:paraId="7CA793C9" w14:textId="77777777" w:rsidR="0054037F" w:rsidRPr="0054037F" w:rsidRDefault="0054037F" w:rsidP="00A313F7">
      <w:pPr>
        <w:spacing w:before="100" w:beforeAutospacing="1" w:after="100" w:afterAutospacing="1" w:line="360" w:lineRule="auto"/>
        <w:jc w:val="both"/>
        <w:rPr>
          <w:rFonts w:ascii="Arial" w:eastAsia="Times New Roman" w:hAnsi="Arial" w:cs="Arial"/>
          <w:sz w:val="24"/>
          <w:szCs w:val="24"/>
          <w:lang w:val="es-MX" w:eastAsia="es-MX"/>
        </w:rPr>
      </w:pPr>
      <w:r w:rsidRPr="0054037F">
        <w:rPr>
          <w:rFonts w:ascii="Arial" w:eastAsia="Times New Roman" w:hAnsi="Arial" w:cs="Arial"/>
          <w:sz w:val="24"/>
          <w:szCs w:val="24"/>
          <w:lang w:val="es-MX" w:eastAsia="es-MX"/>
        </w:rPr>
        <w:t>El SAGRILAFT, adoptado en Colombia, es un sistema integral que exige a las entidades adoptar mecanismos internos de gestión del riesgo de LA/FT, incluyendo identificación, medición, control y monitoreo. En Paraguay, este enfoque se refleja normativamente en:</w:t>
      </w:r>
    </w:p>
    <w:p w14:paraId="43DD70A5" w14:textId="28345DCD" w:rsidR="0054037F" w:rsidRPr="0054037F" w:rsidRDefault="00BE10F9" w:rsidP="00A313F7">
      <w:pPr>
        <w:numPr>
          <w:ilvl w:val="0"/>
          <w:numId w:val="2"/>
        </w:numPr>
        <w:spacing w:before="100" w:beforeAutospacing="1" w:after="100" w:afterAutospacing="1" w:line="360" w:lineRule="auto"/>
        <w:jc w:val="both"/>
        <w:rPr>
          <w:rFonts w:ascii="Arial" w:eastAsia="Times New Roman" w:hAnsi="Arial" w:cs="Arial"/>
          <w:sz w:val="24"/>
          <w:szCs w:val="24"/>
          <w:lang w:val="es-MX" w:eastAsia="es-MX"/>
        </w:rPr>
      </w:pPr>
      <w:r w:rsidRPr="00A313F7">
        <w:rPr>
          <w:rFonts w:ascii="Arial" w:eastAsia="Times New Roman" w:hAnsi="Arial" w:cs="Arial"/>
          <w:sz w:val="24"/>
          <w:szCs w:val="24"/>
          <w:lang w:val="es-MX" w:eastAsia="es-MX"/>
        </w:rPr>
        <w:t xml:space="preserve">Las </w:t>
      </w:r>
      <w:r w:rsidR="000A18A8" w:rsidRPr="0054037F">
        <w:rPr>
          <w:rFonts w:ascii="Arial" w:eastAsia="Times New Roman" w:hAnsi="Arial" w:cs="Arial"/>
          <w:sz w:val="24"/>
          <w:szCs w:val="24"/>
          <w:lang w:val="es-MX" w:eastAsia="es-MX"/>
        </w:rPr>
        <w:t>Resolucion</w:t>
      </w:r>
      <w:r w:rsidR="000A18A8" w:rsidRPr="00A313F7">
        <w:rPr>
          <w:rFonts w:ascii="Arial" w:eastAsia="Times New Roman" w:hAnsi="Arial" w:cs="Arial"/>
          <w:sz w:val="24"/>
          <w:szCs w:val="24"/>
          <w:lang w:val="es-MX" w:eastAsia="es-MX"/>
        </w:rPr>
        <w:t>es</w:t>
      </w:r>
      <w:r w:rsidRPr="00A313F7">
        <w:rPr>
          <w:rFonts w:ascii="Arial" w:eastAsia="Times New Roman" w:hAnsi="Arial" w:cs="Arial"/>
          <w:sz w:val="24"/>
          <w:szCs w:val="24"/>
          <w:lang w:val="es-MX" w:eastAsia="es-MX"/>
        </w:rPr>
        <w:t xml:space="preserve"> de la S</w:t>
      </w:r>
      <w:r w:rsidR="0054037F" w:rsidRPr="0054037F">
        <w:rPr>
          <w:rFonts w:ascii="Arial" w:eastAsia="Times New Roman" w:hAnsi="Arial" w:cs="Arial"/>
          <w:sz w:val="24"/>
          <w:szCs w:val="24"/>
          <w:lang w:val="es-MX" w:eastAsia="es-MX"/>
        </w:rPr>
        <w:t xml:space="preserve">EPRELAD </w:t>
      </w:r>
      <w:r w:rsidRPr="00A313F7">
        <w:rPr>
          <w:rFonts w:ascii="Arial" w:eastAsia="Times New Roman" w:hAnsi="Arial" w:cs="Arial"/>
          <w:sz w:val="24"/>
          <w:szCs w:val="24"/>
          <w:lang w:val="es-MX" w:eastAsia="es-MX"/>
        </w:rPr>
        <w:t xml:space="preserve">aplicado a los Sujetos Obligado de los Sectores Financieros </w:t>
      </w:r>
      <w:r w:rsidR="0054037F" w:rsidRPr="0054037F">
        <w:rPr>
          <w:rFonts w:ascii="Arial" w:eastAsia="Times New Roman" w:hAnsi="Arial" w:cs="Arial"/>
          <w:sz w:val="24"/>
          <w:szCs w:val="24"/>
          <w:lang w:val="es-MX" w:eastAsia="es-MX"/>
        </w:rPr>
        <w:t xml:space="preserve">y </w:t>
      </w:r>
      <w:r w:rsidRPr="00A313F7">
        <w:rPr>
          <w:rFonts w:ascii="Arial" w:eastAsia="Times New Roman" w:hAnsi="Arial" w:cs="Arial"/>
          <w:sz w:val="24"/>
          <w:szCs w:val="24"/>
          <w:lang w:val="es-MX" w:eastAsia="es-MX"/>
        </w:rPr>
        <w:t>los No Financieros</w:t>
      </w:r>
      <w:r w:rsidR="0054037F" w:rsidRPr="0054037F">
        <w:rPr>
          <w:rFonts w:ascii="Arial" w:eastAsia="Times New Roman" w:hAnsi="Arial" w:cs="Arial"/>
          <w:sz w:val="24"/>
          <w:szCs w:val="24"/>
          <w:lang w:val="es-MX" w:eastAsia="es-MX"/>
        </w:rPr>
        <w:t>, que exigen la aplicación del Enfoque Basado en Riesgos (EBR). Estas normas obligan a:</w:t>
      </w:r>
    </w:p>
    <w:p w14:paraId="21372FB4" w14:textId="77777777" w:rsidR="0054037F" w:rsidRPr="0054037F" w:rsidRDefault="0054037F" w:rsidP="00A313F7">
      <w:pPr>
        <w:numPr>
          <w:ilvl w:val="1"/>
          <w:numId w:val="2"/>
        </w:numPr>
        <w:spacing w:before="100" w:beforeAutospacing="1" w:after="100" w:afterAutospacing="1" w:line="360" w:lineRule="auto"/>
        <w:jc w:val="both"/>
        <w:rPr>
          <w:rFonts w:ascii="Arial" w:eastAsia="Times New Roman" w:hAnsi="Arial" w:cs="Arial"/>
          <w:sz w:val="24"/>
          <w:szCs w:val="24"/>
          <w:lang w:val="es-MX" w:eastAsia="es-MX"/>
        </w:rPr>
      </w:pPr>
      <w:r w:rsidRPr="0054037F">
        <w:rPr>
          <w:rFonts w:ascii="Arial" w:eastAsia="Times New Roman" w:hAnsi="Arial" w:cs="Arial"/>
          <w:sz w:val="24"/>
          <w:szCs w:val="24"/>
          <w:lang w:val="es-MX" w:eastAsia="es-MX"/>
        </w:rPr>
        <w:t>Identificar y evaluar los riesgos.</w:t>
      </w:r>
    </w:p>
    <w:p w14:paraId="5D2DC3FC" w14:textId="77777777" w:rsidR="0054037F" w:rsidRPr="0054037F" w:rsidRDefault="0054037F" w:rsidP="00A313F7">
      <w:pPr>
        <w:numPr>
          <w:ilvl w:val="1"/>
          <w:numId w:val="2"/>
        </w:numPr>
        <w:spacing w:before="100" w:beforeAutospacing="1" w:after="100" w:afterAutospacing="1" w:line="360" w:lineRule="auto"/>
        <w:jc w:val="both"/>
        <w:rPr>
          <w:rFonts w:ascii="Arial" w:eastAsia="Times New Roman" w:hAnsi="Arial" w:cs="Arial"/>
          <w:sz w:val="24"/>
          <w:szCs w:val="24"/>
          <w:lang w:val="es-MX" w:eastAsia="es-MX"/>
        </w:rPr>
      </w:pPr>
      <w:r w:rsidRPr="0054037F">
        <w:rPr>
          <w:rFonts w:ascii="Arial" w:eastAsia="Times New Roman" w:hAnsi="Arial" w:cs="Arial"/>
          <w:sz w:val="24"/>
          <w:szCs w:val="24"/>
          <w:lang w:val="es-MX" w:eastAsia="es-MX"/>
        </w:rPr>
        <w:t>Implementar controles internos.</w:t>
      </w:r>
    </w:p>
    <w:p w14:paraId="3FC49235" w14:textId="77777777" w:rsidR="0054037F" w:rsidRPr="0054037F" w:rsidRDefault="0054037F" w:rsidP="00A313F7">
      <w:pPr>
        <w:numPr>
          <w:ilvl w:val="1"/>
          <w:numId w:val="2"/>
        </w:numPr>
        <w:spacing w:before="100" w:beforeAutospacing="1" w:after="100" w:afterAutospacing="1" w:line="360" w:lineRule="auto"/>
        <w:jc w:val="both"/>
        <w:rPr>
          <w:rFonts w:ascii="Arial" w:eastAsia="Times New Roman" w:hAnsi="Arial" w:cs="Arial"/>
          <w:sz w:val="24"/>
          <w:szCs w:val="24"/>
          <w:lang w:val="es-MX" w:eastAsia="es-MX"/>
        </w:rPr>
      </w:pPr>
      <w:r w:rsidRPr="0054037F">
        <w:rPr>
          <w:rFonts w:ascii="Arial" w:eastAsia="Times New Roman" w:hAnsi="Arial" w:cs="Arial"/>
          <w:sz w:val="24"/>
          <w:szCs w:val="24"/>
          <w:lang w:val="es-MX" w:eastAsia="es-MX"/>
        </w:rPr>
        <w:t>Contar con manuales, oficiales de cumplimiento y capacitación.</w:t>
      </w:r>
    </w:p>
    <w:p w14:paraId="7329D82A" w14:textId="77777777" w:rsidR="0054037F" w:rsidRPr="0054037F" w:rsidRDefault="0054037F" w:rsidP="00A313F7">
      <w:pPr>
        <w:spacing w:before="100" w:beforeAutospacing="1" w:after="100" w:afterAutospacing="1" w:line="360" w:lineRule="auto"/>
        <w:jc w:val="both"/>
        <w:rPr>
          <w:rFonts w:ascii="Arial" w:eastAsia="Times New Roman" w:hAnsi="Arial" w:cs="Arial"/>
          <w:sz w:val="24"/>
          <w:szCs w:val="24"/>
          <w:lang w:val="es-MX" w:eastAsia="es-MX"/>
        </w:rPr>
      </w:pPr>
      <w:r w:rsidRPr="0054037F">
        <w:rPr>
          <w:rFonts w:ascii="Arial" w:eastAsia="Times New Roman" w:hAnsi="Arial" w:cs="Arial"/>
          <w:sz w:val="24"/>
          <w:szCs w:val="24"/>
          <w:lang w:val="es-MX" w:eastAsia="es-MX"/>
        </w:rPr>
        <w:t>Esto reproduce la lógica del SAGRILAFT, aunque sin denominarlo así: ambos son modelos preventivos institucionales, obligatorios, documentados y sujetos a supervisión.</w:t>
      </w:r>
    </w:p>
    <w:p w14:paraId="422E8A4F" w14:textId="77777777" w:rsidR="0054037F" w:rsidRPr="0054037F" w:rsidRDefault="0054037F" w:rsidP="00A313F7">
      <w:pPr>
        <w:spacing w:before="100" w:beforeAutospacing="1" w:after="100" w:afterAutospacing="1" w:line="360" w:lineRule="auto"/>
        <w:jc w:val="both"/>
        <w:outlineLvl w:val="2"/>
        <w:rPr>
          <w:rFonts w:ascii="Arial" w:eastAsia="Times New Roman" w:hAnsi="Arial" w:cs="Arial"/>
          <w:sz w:val="24"/>
          <w:szCs w:val="24"/>
          <w:lang w:val="es-MX" w:eastAsia="es-MX"/>
        </w:rPr>
      </w:pPr>
      <w:bookmarkStart w:id="9" w:name="_Toc205218662"/>
      <w:r w:rsidRPr="0054037F">
        <w:rPr>
          <w:rFonts w:ascii="Arial" w:eastAsia="Times New Roman" w:hAnsi="Arial" w:cs="Arial"/>
          <w:sz w:val="24"/>
          <w:szCs w:val="24"/>
          <w:lang w:val="es-MX" w:eastAsia="es-MX"/>
        </w:rPr>
        <w:t>2. Modelo COSO y su paralelismo en la normativa paraguaya</w:t>
      </w:r>
      <w:bookmarkEnd w:id="9"/>
    </w:p>
    <w:p w14:paraId="0E7CDD42" w14:textId="77777777" w:rsidR="0054037F" w:rsidRPr="0054037F" w:rsidRDefault="0054037F" w:rsidP="00A313F7">
      <w:pPr>
        <w:spacing w:before="100" w:beforeAutospacing="1" w:after="100" w:afterAutospacing="1" w:line="360" w:lineRule="auto"/>
        <w:jc w:val="both"/>
        <w:rPr>
          <w:rFonts w:ascii="Arial" w:eastAsia="Times New Roman" w:hAnsi="Arial" w:cs="Arial"/>
          <w:sz w:val="24"/>
          <w:szCs w:val="24"/>
          <w:lang w:val="es-MX" w:eastAsia="es-MX"/>
        </w:rPr>
      </w:pPr>
      <w:r w:rsidRPr="0054037F">
        <w:rPr>
          <w:rFonts w:ascii="Arial" w:eastAsia="Times New Roman" w:hAnsi="Arial" w:cs="Arial"/>
          <w:sz w:val="24"/>
          <w:szCs w:val="24"/>
          <w:lang w:val="es-MX" w:eastAsia="es-MX"/>
        </w:rPr>
        <w:t>El modelo COSO (</w:t>
      </w:r>
      <w:proofErr w:type="spellStart"/>
      <w:r w:rsidRPr="0054037F">
        <w:rPr>
          <w:rFonts w:ascii="Arial" w:eastAsia="Times New Roman" w:hAnsi="Arial" w:cs="Arial"/>
          <w:sz w:val="24"/>
          <w:szCs w:val="24"/>
          <w:lang w:val="es-MX" w:eastAsia="es-MX"/>
        </w:rPr>
        <w:t>Committee</w:t>
      </w:r>
      <w:proofErr w:type="spellEnd"/>
      <w:r w:rsidRPr="0054037F">
        <w:rPr>
          <w:rFonts w:ascii="Arial" w:eastAsia="Times New Roman" w:hAnsi="Arial" w:cs="Arial"/>
          <w:sz w:val="24"/>
          <w:szCs w:val="24"/>
          <w:lang w:val="es-MX" w:eastAsia="es-MX"/>
        </w:rPr>
        <w:t xml:space="preserve"> </w:t>
      </w:r>
      <w:proofErr w:type="spellStart"/>
      <w:r w:rsidRPr="0054037F">
        <w:rPr>
          <w:rFonts w:ascii="Arial" w:eastAsia="Times New Roman" w:hAnsi="Arial" w:cs="Arial"/>
          <w:sz w:val="24"/>
          <w:szCs w:val="24"/>
          <w:lang w:val="es-MX" w:eastAsia="es-MX"/>
        </w:rPr>
        <w:t>of</w:t>
      </w:r>
      <w:proofErr w:type="spellEnd"/>
      <w:r w:rsidRPr="0054037F">
        <w:rPr>
          <w:rFonts w:ascii="Arial" w:eastAsia="Times New Roman" w:hAnsi="Arial" w:cs="Arial"/>
          <w:sz w:val="24"/>
          <w:szCs w:val="24"/>
          <w:lang w:val="es-MX" w:eastAsia="es-MX"/>
        </w:rPr>
        <w:t xml:space="preserve"> </w:t>
      </w:r>
      <w:proofErr w:type="spellStart"/>
      <w:r w:rsidRPr="0054037F">
        <w:rPr>
          <w:rFonts w:ascii="Arial" w:eastAsia="Times New Roman" w:hAnsi="Arial" w:cs="Arial"/>
          <w:sz w:val="24"/>
          <w:szCs w:val="24"/>
          <w:lang w:val="es-MX" w:eastAsia="es-MX"/>
        </w:rPr>
        <w:t>Sponsoring</w:t>
      </w:r>
      <w:proofErr w:type="spellEnd"/>
      <w:r w:rsidRPr="0054037F">
        <w:rPr>
          <w:rFonts w:ascii="Arial" w:eastAsia="Times New Roman" w:hAnsi="Arial" w:cs="Arial"/>
          <w:sz w:val="24"/>
          <w:szCs w:val="24"/>
          <w:lang w:val="es-MX" w:eastAsia="es-MX"/>
        </w:rPr>
        <w:t xml:space="preserve"> </w:t>
      </w:r>
      <w:proofErr w:type="spellStart"/>
      <w:r w:rsidRPr="0054037F">
        <w:rPr>
          <w:rFonts w:ascii="Arial" w:eastAsia="Times New Roman" w:hAnsi="Arial" w:cs="Arial"/>
          <w:sz w:val="24"/>
          <w:szCs w:val="24"/>
          <w:lang w:val="es-MX" w:eastAsia="es-MX"/>
        </w:rPr>
        <w:t>Organizations</w:t>
      </w:r>
      <w:proofErr w:type="spellEnd"/>
      <w:r w:rsidRPr="0054037F">
        <w:rPr>
          <w:rFonts w:ascii="Arial" w:eastAsia="Times New Roman" w:hAnsi="Arial" w:cs="Arial"/>
          <w:sz w:val="24"/>
          <w:szCs w:val="24"/>
          <w:lang w:val="es-MX" w:eastAsia="es-MX"/>
        </w:rPr>
        <w:t xml:space="preserve"> </w:t>
      </w:r>
      <w:proofErr w:type="spellStart"/>
      <w:r w:rsidRPr="0054037F">
        <w:rPr>
          <w:rFonts w:ascii="Arial" w:eastAsia="Times New Roman" w:hAnsi="Arial" w:cs="Arial"/>
          <w:sz w:val="24"/>
          <w:szCs w:val="24"/>
          <w:lang w:val="es-MX" w:eastAsia="es-MX"/>
        </w:rPr>
        <w:t>of</w:t>
      </w:r>
      <w:proofErr w:type="spellEnd"/>
      <w:r w:rsidRPr="0054037F">
        <w:rPr>
          <w:rFonts w:ascii="Arial" w:eastAsia="Times New Roman" w:hAnsi="Arial" w:cs="Arial"/>
          <w:sz w:val="24"/>
          <w:szCs w:val="24"/>
          <w:lang w:val="es-MX" w:eastAsia="es-MX"/>
        </w:rPr>
        <w:t xml:space="preserve"> </w:t>
      </w:r>
      <w:proofErr w:type="spellStart"/>
      <w:r w:rsidRPr="0054037F">
        <w:rPr>
          <w:rFonts w:ascii="Arial" w:eastAsia="Times New Roman" w:hAnsi="Arial" w:cs="Arial"/>
          <w:sz w:val="24"/>
          <w:szCs w:val="24"/>
          <w:lang w:val="es-MX" w:eastAsia="es-MX"/>
        </w:rPr>
        <w:t>the</w:t>
      </w:r>
      <w:proofErr w:type="spellEnd"/>
      <w:r w:rsidRPr="0054037F">
        <w:rPr>
          <w:rFonts w:ascii="Arial" w:eastAsia="Times New Roman" w:hAnsi="Arial" w:cs="Arial"/>
          <w:sz w:val="24"/>
          <w:szCs w:val="24"/>
          <w:lang w:val="es-MX" w:eastAsia="es-MX"/>
        </w:rPr>
        <w:t xml:space="preserve"> </w:t>
      </w:r>
      <w:proofErr w:type="spellStart"/>
      <w:r w:rsidRPr="0054037F">
        <w:rPr>
          <w:rFonts w:ascii="Arial" w:eastAsia="Times New Roman" w:hAnsi="Arial" w:cs="Arial"/>
          <w:sz w:val="24"/>
          <w:szCs w:val="24"/>
          <w:lang w:val="es-MX" w:eastAsia="es-MX"/>
        </w:rPr>
        <w:t>Treadway</w:t>
      </w:r>
      <w:proofErr w:type="spellEnd"/>
      <w:r w:rsidRPr="0054037F">
        <w:rPr>
          <w:rFonts w:ascii="Arial" w:eastAsia="Times New Roman" w:hAnsi="Arial" w:cs="Arial"/>
          <w:sz w:val="24"/>
          <w:szCs w:val="24"/>
          <w:lang w:val="es-MX" w:eastAsia="es-MX"/>
        </w:rPr>
        <w:t xml:space="preserve"> </w:t>
      </w:r>
      <w:proofErr w:type="spellStart"/>
      <w:r w:rsidRPr="0054037F">
        <w:rPr>
          <w:rFonts w:ascii="Arial" w:eastAsia="Times New Roman" w:hAnsi="Arial" w:cs="Arial"/>
          <w:sz w:val="24"/>
          <w:szCs w:val="24"/>
          <w:lang w:val="es-MX" w:eastAsia="es-MX"/>
        </w:rPr>
        <w:t>Commission</w:t>
      </w:r>
      <w:proofErr w:type="spellEnd"/>
      <w:r w:rsidRPr="0054037F">
        <w:rPr>
          <w:rFonts w:ascii="Arial" w:eastAsia="Times New Roman" w:hAnsi="Arial" w:cs="Arial"/>
          <w:sz w:val="24"/>
          <w:szCs w:val="24"/>
          <w:lang w:val="es-MX" w:eastAsia="es-MX"/>
        </w:rPr>
        <w:t>) establece un marco de control interno con cinco componentes: entorno de control, evaluación de riesgos, actividades de control, información y comunicación, y monitoreo.</w:t>
      </w:r>
    </w:p>
    <w:p w14:paraId="6740D74F" w14:textId="77777777" w:rsidR="0054037F" w:rsidRPr="0054037F" w:rsidRDefault="0054037F" w:rsidP="00A313F7">
      <w:pPr>
        <w:spacing w:before="100" w:beforeAutospacing="1" w:after="100" w:afterAutospacing="1" w:line="360" w:lineRule="auto"/>
        <w:jc w:val="both"/>
        <w:rPr>
          <w:rFonts w:ascii="Arial" w:eastAsia="Times New Roman" w:hAnsi="Arial" w:cs="Arial"/>
          <w:sz w:val="24"/>
          <w:szCs w:val="24"/>
          <w:lang w:val="es-MX" w:eastAsia="es-MX"/>
        </w:rPr>
      </w:pPr>
      <w:r w:rsidRPr="0054037F">
        <w:rPr>
          <w:rFonts w:ascii="Arial" w:eastAsia="Times New Roman" w:hAnsi="Arial" w:cs="Arial"/>
          <w:sz w:val="24"/>
          <w:szCs w:val="24"/>
          <w:lang w:val="es-MX" w:eastAsia="es-MX"/>
        </w:rPr>
        <w:lastRenderedPageBreak/>
        <w:t>Aunque el modelo COSO no aparece citado expresamente, su lógica está implícita en la regulación paraguaya:</w:t>
      </w:r>
    </w:p>
    <w:p w14:paraId="3D90E397" w14:textId="77777777" w:rsidR="0054037F" w:rsidRPr="0054037F" w:rsidRDefault="0054037F" w:rsidP="00A313F7">
      <w:pPr>
        <w:numPr>
          <w:ilvl w:val="0"/>
          <w:numId w:val="3"/>
        </w:numPr>
        <w:spacing w:before="100" w:beforeAutospacing="1" w:after="100" w:afterAutospacing="1" w:line="360" w:lineRule="auto"/>
        <w:jc w:val="both"/>
        <w:rPr>
          <w:rFonts w:ascii="Arial" w:eastAsia="Times New Roman" w:hAnsi="Arial" w:cs="Arial"/>
          <w:sz w:val="24"/>
          <w:szCs w:val="24"/>
          <w:lang w:val="es-MX" w:eastAsia="es-MX"/>
        </w:rPr>
      </w:pPr>
      <w:r w:rsidRPr="0054037F">
        <w:rPr>
          <w:rFonts w:ascii="Arial" w:eastAsia="Times New Roman" w:hAnsi="Arial" w:cs="Arial"/>
          <w:sz w:val="24"/>
          <w:szCs w:val="24"/>
          <w:lang w:val="es-MX" w:eastAsia="es-MX"/>
        </w:rPr>
        <w:t>Ley N.º 6424/19 y resoluciones de SEPRELAD requieren a los sujetos obligados contar con políticas, procedimientos y estructuras internas de control, además de evaluaciones periódicas de efectividad, especialmente en la prevención del LA/FT.</w:t>
      </w:r>
    </w:p>
    <w:p w14:paraId="7A77F54A" w14:textId="77777777" w:rsidR="0054037F" w:rsidRPr="0054037F" w:rsidRDefault="0054037F" w:rsidP="00A313F7">
      <w:pPr>
        <w:numPr>
          <w:ilvl w:val="0"/>
          <w:numId w:val="3"/>
        </w:numPr>
        <w:spacing w:before="100" w:beforeAutospacing="1" w:after="100" w:afterAutospacing="1" w:line="360" w:lineRule="auto"/>
        <w:jc w:val="both"/>
        <w:rPr>
          <w:rFonts w:ascii="Arial" w:eastAsia="Times New Roman" w:hAnsi="Arial" w:cs="Arial"/>
          <w:sz w:val="24"/>
          <w:szCs w:val="24"/>
          <w:lang w:val="es-MX" w:eastAsia="es-MX"/>
        </w:rPr>
      </w:pPr>
      <w:r w:rsidRPr="0054037F">
        <w:rPr>
          <w:rFonts w:ascii="Arial" w:eastAsia="Times New Roman" w:hAnsi="Arial" w:cs="Arial"/>
          <w:sz w:val="24"/>
          <w:szCs w:val="24"/>
          <w:lang w:val="es-MX" w:eastAsia="es-MX"/>
        </w:rPr>
        <w:t>Se exige que los órganos de gobierno (directorio, gerencia) establezcan un entorno de control y una cultura de cumplimiento, componentes esenciales del COSO.</w:t>
      </w:r>
    </w:p>
    <w:p w14:paraId="670A0520" w14:textId="77777777" w:rsidR="0054037F" w:rsidRPr="0054037F" w:rsidRDefault="0054037F" w:rsidP="00A313F7">
      <w:pPr>
        <w:numPr>
          <w:ilvl w:val="0"/>
          <w:numId w:val="3"/>
        </w:numPr>
        <w:spacing w:before="100" w:beforeAutospacing="1" w:after="100" w:afterAutospacing="1" w:line="360" w:lineRule="auto"/>
        <w:jc w:val="both"/>
        <w:rPr>
          <w:rFonts w:ascii="Arial" w:eastAsia="Times New Roman" w:hAnsi="Arial" w:cs="Arial"/>
          <w:sz w:val="24"/>
          <w:szCs w:val="24"/>
          <w:lang w:val="es-MX" w:eastAsia="es-MX"/>
        </w:rPr>
      </w:pPr>
      <w:r w:rsidRPr="0054037F">
        <w:rPr>
          <w:rFonts w:ascii="Arial" w:eastAsia="Times New Roman" w:hAnsi="Arial" w:cs="Arial"/>
          <w:sz w:val="24"/>
          <w:szCs w:val="24"/>
          <w:lang w:val="es-MX" w:eastAsia="es-MX"/>
        </w:rPr>
        <w:t>El oficial de cumplimiento, obligatorio según la normativa SEPRELAD, representa la función de monitoreo y supervisión continua, como prevé el COSO.</w:t>
      </w:r>
    </w:p>
    <w:p w14:paraId="1EC85081" w14:textId="77777777" w:rsidR="0054037F" w:rsidRPr="0054037F" w:rsidRDefault="0054037F" w:rsidP="00A313F7">
      <w:pPr>
        <w:spacing w:before="100" w:beforeAutospacing="1" w:after="100" w:afterAutospacing="1" w:line="360" w:lineRule="auto"/>
        <w:jc w:val="both"/>
        <w:outlineLvl w:val="2"/>
        <w:rPr>
          <w:rFonts w:ascii="Arial" w:eastAsia="Times New Roman" w:hAnsi="Arial" w:cs="Arial"/>
          <w:sz w:val="24"/>
          <w:szCs w:val="24"/>
          <w:lang w:val="es-MX" w:eastAsia="es-MX"/>
        </w:rPr>
      </w:pPr>
      <w:bookmarkStart w:id="10" w:name="_Toc205218663"/>
      <w:r w:rsidRPr="0054037F">
        <w:rPr>
          <w:rFonts w:ascii="Arial" w:eastAsia="Times New Roman" w:hAnsi="Arial" w:cs="Arial"/>
          <w:sz w:val="24"/>
          <w:szCs w:val="24"/>
          <w:lang w:val="es-MX" w:eastAsia="es-MX"/>
        </w:rPr>
        <w:t>3. Grupo Wolfsberg: estándares para el sector financiero</w:t>
      </w:r>
      <w:bookmarkEnd w:id="10"/>
    </w:p>
    <w:p w14:paraId="05C52BAD" w14:textId="77777777" w:rsidR="0054037F" w:rsidRPr="0054037F" w:rsidRDefault="0054037F" w:rsidP="00A313F7">
      <w:pPr>
        <w:spacing w:before="100" w:beforeAutospacing="1" w:after="100" w:afterAutospacing="1" w:line="360" w:lineRule="auto"/>
        <w:jc w:val="both"/>
        <w:rPr>
          <w:rFonts w:ascii="Arial" w:eastAsia="Times New Roman" w:hAnsi="Arial" w:cs="Arial"/>
          <w:sz w:val="24"/>
          <w:szCs w:val="24"/>
          <w:lang w:val="es-MX" w:eastAsia="es-MX"/>
        </w:rPr>
      </w:pPr>
      <w:r w:rsidRPr="0054037F">
        <w:rPr>
          <w:rFonts w:ascii="Arial" w:eastAsia="Times New Roman" w:hAnsi="Arial" w:cs="Arial"/>
          <w:sz w:val="24"/>
          <w:szCs w:val="24"/>
          <w:lang w:val="es-MX" w:eastAsia="es-MX"/>
        </w:rPr>
        <w:t>El Grupo Wolfsberg, integrado por bancos internacionales, emite principios sobre gestión de riesgos de LA/FT en la banca. Aunque Paraguay no menciona este grupo expresamente en su normativa, su influencia es indirecta pero visible:</w:t>
      </w:r>
    </w:p>
    <w:p w14:paraId="782931E8" w14:textId="136A81C7" w:rsidR="0054037F" w:rsidRPr="0054037F" w:rsidRDefault="0054037F" w:rsidP="00A313F7">
      <w:pPr>
        <w:numPr>
          <w:ilvl w:val="0"/>
          <w:numId w:val="4"/>
        </w:numPr>
        <w:spacing w:before="100" w:beforeAutospacing="1" w:after="100" w:afterAutospacing="1" w:line="360" w:lineRule="auto"/>
        <w:jc w:val="both"/>
        <w:rPr>
          <w:rFonts w:ascii="Arial" w:eastAsia="Times New Roman" w:hAnsi="Arial" w:cs="Arial"/>
          <w:sz w:val="24"/>
          <w:szCs w:val="24"/>
          <w:lang w:val="es-MX" w:eastAsia="es-MX"/>
        </w:rPr>
      </w:pPr>
      <w:r w:rsidRPr="0054037F">
        <w:rPr>
          <w:rFonts w:ascii="Arial" w:eastAsia="Times New Roman" w:hAnsi="Arial" w:cs="Arial"/>
          <w:sz w:val="24"/>
          <w:szCs w:val="24"/>
          <w:lang w:val="es-MX" w:eastAsia="es-MX"/>
        </w:rPr>
        <w:t>La</w:t>
      </w:r>
      <w:r w:rsidR="00BE10F9" w:rsidRPr="00A313F7">
        <w:rPr>
          <w:rFonts w:ascii="Arial" w:eastAsia="Times New Roman" w:hAnsi="Arial" w:cs="Arial"/>
          <w:sz w:val="24"/>
          <w:szCs w:val="24"/>
          <w:lang w:val="es-MX" w:eastAsia="es-MX"/>
        </w:rPr>
        <w:t>s</w:t>
      </w:r>
      <w:r w:rsidRPr="0054037F">
        <w:rPr>
          <w:rFonts w:ascii="Arial" w:eastAsia="Times New Roman" w:hAnsi="Arial" w:cs="Arial"/>
          <w:sz w:val="24"/>
          <w:szCs w:val="24"/>
          <w:lang w:val="es-MX" w:eastAsia="es-MX"/>
        </w:rPr>
        <w:t xml:space="preserve"> </w:t>
      </w:r>
      <w:r w:rsidR="00BE10F9" w:rsidRPr="00A313F7">
        <w:rPr>
          <w:rFonts w:ascii="Arial" w:eastAsia="Times New Roman" w:hAnsi="Arial" w:cs="Arial"/>
          <w:sz w:val="24"/>
          <w:szCs w:val="24"/>
          <w:lang w:val="es-MX" w:eastAsia="es-MX"/>
        </w:rPr>
        <w:t xml:space="preserve">Resoluciones de </w:t>
      </w:r>
      <w:r w:rsidR="000A18A8" w:rsidRPr="00A313F7">
        <w:rPr>
          <w:rFonts w:ascii="Arial" w:eastAsia="Times New Roman" w:hAnsi="Arial" w:cs="Arial"/>
          <w:sz w:val="24"/>
          <w:szCs w:val="24"/>
          <w:lang w:val="es-MX" w:eastAsia="es-MX"/>
        </w:rPr>
        <w:t xml:space="preserve">la </w:t>
      </w:r>
      <w:r w:rsidR="000A18A8" w:rsidRPr="0054037F">
        <w:rPr>
          <w:rFonts w:ascii="Arial" w:eastAsia="Times New Roman" w:hAnsi="Arial" w:cs="Arial"/>
          <w:sz w:val="24"/>
          <w:szCs w:val="24"/>
          <w:lang w:val="es-MX" w:eastAsia="es-MX"/>
        </w:rPr>
        <w:t>SEPRELAD</w:t>
      </w:r>
      <w:r w:rsidRPr="0054037F">
        <w:rPr>
          <w:rFonts w:ascii="Arial" w:eastAsia="Times New Roman" w:hAnsi="Arial" w:cs="Arial"/>
          <w:sz w:val="24"/>
          <w:szCs w:val="24"/>
          <w:lang w:val="es-MX" w:eastAsia="es-MX"/>
        </w:rPr>
        <w:t>, dirigida a sujetos obligados financieros, exige procedimientos de conozca a su cliente (KYC), diligencia debida reforzada y políticas para clientes PEP. Estos son principios centrales del Grupo Wolfsberg.</w:t>
      </w:r>
    </w:p>
    <w:p w14:paraId="5F6C9BF9" w14:textId="77777777" w:rsidR="0054037F" w:rsidRPr="0054037F" w:rsidRDefault="0054037F" w:rsidP="00A313F7">
      <w:pPr>
        <w:numPr>
          <w:ilvl w:val="0"/>
          <w:numId w:val="4"/>
        </w:numPr>
        <w:spacing w:before="100" w:beforeAutospacing="1" w:after="100" w:afterAutospacing="1" w:line="360" w:lineRule="auto"/>
        <w:jc w:val="both"/>
        <w:rPr>
          <w:rFonts w:ascii="Arial" w:eastAsia="Times New Roman" w:hAnsi="Arial" w:cs="Arial"/>
          <w:sz w:val="24"/>
          <w:szCs w:val="24"/>
          <w:lang w:val="es-MX" w:eastAsia="es-MX"/>
        </w:rPr>
      </w:pPr>
      <w:r w:rsidRPr="0054037F">
        <w:rPr>
          <w:rFonts w:ascii="Arial" w:eastAsia="Times New Roman" w:hAnsi="Arial" w:cs="Arial"/>
          <w:sz w:val="24"/>
          <w:szCs w:val="24"/>
          <w:lang w:val="es-MX" w:eastAsia="es-MX"/>
        </w:rPr>
        <w:t>La exigencia de controles para banca corresponsal, remesas internacionales y monitoreo transaccional están alineados con las Cartas de Principios Wolfsberg sobre AML/CTF, especialmente las referidas a relaciones bancarias internacionales.</w:t>
      </w:r>
    </w:p>
    <w:p w14:paraId="2F841BCC" w14:textId="77777777" w:rsidR="0054037F" w:rsidRPr="0054037F" w:rsidRDefault="0054037F" w:rsidP="00A313F7">
      <w:pPr>
        <w:spacing w:before="100" w:beforeAutospacing="1" w:after="100" w:afterAutospacing="1" w:line="360" w:lineRule="auto"/>
        <w:jc w:val="both"/>
        <w:outlineLvl w:val="2"/>
        <w:rPr>
          <w:rFonts w:ascii="Arial" w:eastAsia="Times New Roman" w:hAnsi="Arial" w:cs="Arial"/>
          <w:sz w:val="24"/>
          <w:szCs w:val="24"/>
          <w:lang w:val="es-MX" w:eastAsia="es-MX"/>
        </w:rPr>
      </w:pPr>
      <w:bookmarkStart w:id="11" w:name="_Toc205218664"/>
      <w:r w:rsidRPr="0054037F">
        <w:rPr>
          <w:rFonts w:ascii="Arial" w:eastAsia="Times New Roman" w:hAnsi="Arial" w:cs="Arial"/>
          <w:sz w:val="24"/>
          <w:szCs w:val="24"/>
          <w:lang w:val="es-MX" w:eastAsia="es-MX"/>
        </w:rPr>
        <w:t>4. Comité de Supervisión Bancaria de Basilea</w:t>
      </w:r>
      <w:bookmarkEnd w:id="11"/>
    </w:p>
    <w:p w14:paraId="7A2B394C" w14:textId="77777777" w:rsidR="0054037F" w:rsidRPr="0054037F" w:rsidRDefault="0054037F" w:rsidP="00A313F7">
      <w:pPr>
        <w:spacing w:before="100" w:beforeAutospacing="1" w:after="100" w:afterAutospacing="1" w:line="360" w:lineRule="auto"/>
        <w:jc w:val="both"/>
        <w:rPr>
          <w:rFonts w:ascii="Arial" w:eastAsia="Times New Roman" w:hAnsi="Arial" w:cs="Arial"/>
          <w:sz w:val="24"/>
          <w:szCs w:val="24"/>
          <w:lang w:val="es-MX" w:eastAsia="es-MX"/>
        </w:rPr>
      </w:pPr>
      <w:r w:rsidRPr="0054037F">
        <w:rPr>
          <w:rFonts w:ascii="Arial" w:eastAsia="Times New Roman" w:hAnsi="Arial" w:cs="Arial"/>
          <w:sz w:val="24"/>
          <w:szCs w:val="24"/>
          <w:lang w:val="es-MX" w:eastAsia="es-MX"/>
        </w:rPr>
        <w:t>El Comité de Basilea, aunque no mencionado explícitamente, inspiró principios asumidos por el BCP y la SEPRELAD, como:</w:t>
      </w:r>
    </w:p>
    <w:p w14:paraId="674210CB" w14:textId="77777777" w:rsidR="0054037F" w:rsidRPr="0054037F" w:rsidRDefault="0054037F" w:rsidP="00A313F7">
      <w:pPr>
        <w:numPr>
          <w:ilvl w:val="0"/>
          <w:numId w:val="5"/>
        </w:numPr>
        <w:spacing w:before="100" w:beforeAutospacing="1" w:after="100" w:afterAutospacing="1" w:line="360" w:lineRule="auto"/>
        <w:jc w:val="both"/>
        <w:rPr>
          <w:rFonts w:ascii="Arial" w:eastAsia="Times New Roman" w:hAnsi="Arial" w:cs="Arial"/>
          <w:sz w:val="24"/>
          <w:szCs w:val="24"/>
          <w:lang w:val="es-MX" w:eastAsia="es-MX"/>
        </w:rPr>
      </w:pPr>
      <w:r w:rsidRPr="0054037F">
        <w:rPr>
          <w:rFonts w:ascii="Arial" w:eastAsia="Times New Roman" w:hAnsi="Arial" w:cs="Arial"/>
          <w:sz w:val="24"/>
          <w:szCs w:val="24"/>
          <w:lang w:val="es-MX" w:eastAsia="es-MX"/>
        </w:rPr>
        <w:t>Gestión del riesgo operacional y reputacional: conceptos presentes en las resoluciones SEPRELAD.</w:t>
      </w:r>
    </w:p>
    <w:p w14:paraId="6C8B2312" w14:textId="77777777" w:rsidR="0054037F" w:rsidRPr="0054037F" w:rsidRDefault="0054037F" w:rsidP="00A313F7">
      <w:pPr>
        <w:numPr>
          <w:ilvl w:val="0"/>
          <w:numId w:val="5"/>
        </w:numPr>
        <w:spacing w:before="100" w:beforeAutospacing="1" w:after="100" w:afterAutospacing="1" w:line="360" w:lineRule="auto"/>
        <w:jc w:val="both"/>
        <w:rPr>
          <w:rFonts w:ascii="Arial" w:eastAsia="Times New Roman" w:hAnsi="Arial" w:cs="Arial"/>
          <w:sz w:val="24"/>
          <w:szCs w:val="24"/>
          <w:lang w:val="es-MX" w:eastAsia="es-MX"/>
        </w:rPr>
      </w:pPr>
      <w:r w:rsidRPr="0054037F">
        <w:rPr>
          <w:rFonts w:ascii="Arial" w:eastAsia="Times New Roman" w:hAnsi="Arial" w:cs="Arial"/>
          <w:sz w:val="24"/>
          <w:szCs w:val="24"/>
          <w:lang w:val="es-MX" w:eastAsia="es-MX"/>
        </w:rPr>
        <w:lastRenderedPageBreak/>
        <w:t xml:space="preserve">La noción de “conozca su cliente” y la obligación de contar con una función de cumplimiento independiente tienen raíz en el documento “Core </w:t>
      </w:r>
      <w:proofErr w:type="spellStart"/>
      <w:r w:rsidRPr="0054037F">
        <w:rPr>
          <w:rFonts w:ascii="Arial" w:eastAsia="Times New Roman" w:hAnsi="Arial" w:cs="Arial"/>
          <w:sz w:val="24"/>
          <w:szCs w:val="24"/>
          <w:lang w:val="es-MX" w:eastAsia="es-MX"/>
        </w:rPr>
        <w:t>Principles</w:t>
      </w:r>
      <w:proofErr w:type="spellEnd"/>
      <w:r w:rsidRPr="0054037F">
        <w:rPr>
          <w:rFonts w:ascii="Arial" w:eastAsia="Times New Roman" w:hAnsi="Arial" w:cs="Arial"/>
          <w:sz w:val="24"/>
          <w:szCs w:val="24"/>
          <w:lang w:val="es-MX" w:eastAsia="es-MX"/>
        </w:rPr>
        <w:t xml:space="preserve"> </w:t>
      </w:r>
      <w:proofErr w:type="spellStart"/>
      <w:r w:rsidRPr="0054037F">
        <w:rPr>
          <w:rFonts w:ascii="Arial" w:eastAsia="Times New Roman" w:hAnsi="Arial" w:cs="Arial"/>
          <w:sz w:val="24"/>
          <w:szCs w:val="24"/>
          <w:lang w:val="es-MX" w:eastAsia="es-MX"/>
        </w:rPr>
        <w:t>for</w:t>
      </w:r>
      <w:proofErr w:type="spellEnd"/>
      <w:r w:rsidRPr="0054037F">
        <w:rPr>
          <w:rFonts w:ascii="Arial" w:eastAsia="Times New Roman" w:hAnsi="Arial" w:cs="Arial"/>
          <w:sz w:val="24"/>
          <w:szCs w:val="24"/>
          <w:lang w:val="es-MX" w:eastAsia="es-MX"/>
        </w:rPr>
        <w:t xml:space="preserve"> </w:t>
      </w:r>
      <w:proofErr w:type="spellStart"/>
      <w:r w:rsidRPr="0054037F">
        <w:rPr>
          <w:rFonts w:ascii="Arial" w:eastAsia="Times New Roman" w:hAnsi="Arial" w:cs="Arial"/>
          <w:sz w:val="24"/>
          <w:szCs w:val="24"/>
          <w:lang w:val="es-MX" w:eastAsia="es-MX"/>
        </w:rPr>
        <w:t>Effective</w:t>
      </w:r>
      <w:proofErr w:type="spellEnd"/>
      <w:r w:rsidRPr="0054037F">
        <w:rPr>
          <w:rFonts w:ascii="Arial" w:eastAsia="Times New Roman" w:hAnsi="Arial" w:cs="Arial"/>
          <w:sz w:val="24"/>
          <w:szCs w:val="24"/>
          <w:lang w:val="es-MX" w:eastAsia="es-MX"/>
        </w:rPr>
        <w:t xml:space="preserve"> </w:t>
      </w:r>
      <w:proofErr w:type="spellStart"/>
      <w:r w:rsidRPr="0054037F">
        <w:rPr>
          <w:rFonts w:ascii="Arial" w:eastAsia="Times New Roman" w:hAnsi="Arial" w:cs="Arial"/>
          <w:sz w:val="24"/>
          <w:szCs w:val="24"/>
          <w:lang w:val="es-MX" w:eastAsia="es-MX"/>
        </w:rPr>
        <w:t>Banking</w:t>
      </w:r>
      <w:proofErr w:type="spellEnd"/>
      <w:r w:rsidRPr="0054037F">
        <w:rPr>
          <w:rFonts w:ascii="Arial" w:eastAsia="Times New Roman" w:hAnsi="Arial" w:cs="Arial"/>
          <w:sz w:val="24"/>
          <w:szCs w:val="24"/>
          <w:lang w:val="es-MX" w:eastAsia="es-MX"/>
        </w:rPr>
        <w:t xml:space="preserve"> </w:t>
      </w:r>
      <w:proofErr w:type="spellStart"/>
      <w:r w:rsidRPr="0054037F">
        <w:rPr>
          <w:rFonts w:ascii="Arial" w:eastAsia="Times New Roman" w:hAnsi="Arial" w:cs="Arial"/>
          <w:sz w:val="24"/>
          <w:szCs w:val="24"/>
          <w:lang w:val="es-MX" w:eastAsia="es-MX"/>
        </w:rPr>
        <w:t>Supervision</w:t>
      </w:r>
      <w:proofErr w:type="spellEnd"/>
      <w:r w:rsidRPr="0054037F">
        <w:rPr>
          <w:rFonts w:ascii="Arial" w:eastAsia="Times New Roman" w:hAnsi="Arial" w:cs="Arial"/>
          <w:sz w:val="24"/>
          <w:szCs w:val="24"/>
          <w:lang w:val="es-MX" w:eastAsia="es-MX"/>
        </w:rPr>
        <w:t>” del Comité de Basilea.</w:t>
      </w:r>
    </w:p>
    <w:p w14:paraId="30CD55E3" w14:textId="77777777" w:rsidR="0054037F" w:rsidRPr="0054037F" w:rsidRDefault="0054037F" w:rsidP="00A313F7">
      <w:pPr>
        <w:numPr>
          <w:ilvl w:val="0"/>
          <w:numId w:val="5"/>
        </w:numPr>
        <w:spacing w:before="100" w:beforeAutospacing="1" w:after="100" w:afterAutospacing="1" w:line="360" w:lineRule="auto"/>
        <w:jc w:val="both"/>
        <w:rPr>
          <w:rFonts w:ascii="Arial" w:eastAsia="Times New Roman" w:hAnsi="Arial" w:cs="Arial"/>
          <w:sz w:val="24"/>
          <w:szCs w:val="24"/>
          <w:lang w:val="es-MX" w:eastAsia="es-MX"/>
        </w:rPr>
      </w:pPr>
      <w:r w:rsidRPr="0054037F">
        <w:rPr>
          <w:rFonts w:ascii="Arial" w:eastAsia="Times New Roman" w:hAnsi="Arial" w:cs="Arial"/>
          <w:sz w:val="24"/>
          <w:szCs w:val="24"/>
          <w:lang w:val="es-MX" w:eastAsia="es-MX"/>
        </w:rPr>
        <w:t>Las directrices para la evaluación del riesgo de LA/FT en bancos (Basilea II y III) coinciden con lo regulado en el enfoque basado en riesgo paraguayo.</w:t>
      </w:r>
    </w:p>
    <w:p w14:paraId="4211FBC5" w14:textId="77777777" w:rsidR="0054037F" w:rsidRPr="0054037F" w:rsidRDefault="0054037F" w:rsidP="00A313F7">
      <w:pPr>
        <w:spacing w:before="100" w:beforeAutospacing="1" w:after="100" w:afterAutospacing="1" w:line="360" w:lineRule="auto"/>
        <w:jc w:val="both"/>
        <w:outlineLvl w:val="2"/>
        <w:rPr>
          <w:rFonts w:ascii="Arial" w:eastAsia="Times New Roman" w:hAnsi="Arial" w:cs="Arial"/>
          <w:sz w:val="24"/>
          <w:szCs w:val="24"/>
          <w:lang w:val="es-MX" w:eastAsia="es-MX"/>
        </w:rPr>
      </w:pPr>
      <w:bookmarkStart w:id="12" w:name="_Toc205218665"/>
      <w:r w:rsidRPr="0054037F">
        <w:rPr>
          <w:rFonts w:ascii="Arial" w:eastAsia="Times New Roman" w:hAnsi="Arial" w:cs="Arial"/>
          <w:sz w:val="24"/>
          <w:szCs w:val="24"/>
          <w:lang w:val="es-MX" w:eastAsia="es-MX"/>
        </w:rPr>
        <w:t>5. Influencias normativas de la UE y EE.UU.</w:t>
      </w:r>
      <w:bookmarkEnd w:id="12"/>
    </w:p>
    <w:p w14:paraId="46F48A5C" w14:textId="77777777" w:rsidR="0054037F" w:rsidRPr="0054037F" w:rsidRDefault="0054037F" w:rsidP="00A313F7">
      <w:pPr>
        <w:spacing w:before="100" w:beforeAutospacing="1" w:after="100" w:afterAutospacing="1" w:line="360" w:lineRule="auto"/>
        <w:jc w:val="both"/>
        <w:rPr>
          <w:rFonts w:ascii="Arial" w:eastAsia="Times New Roman" w:hAnsi="Arial" w:cs="Arial"/>
          <w:sz w:val="24"/>
          <w:szCs w:val="24"/>
          <w:lang w:val="es-MX" w:eastAsia="es-MX"/>
        </w:rPr>
      </w:pPr>
      <w:r w:rsidRPr="0054037F">
        <w:rPr>
          <w:rFonts w:ascii="Arial" w:eastAsia="Times New Roman" w:hAnsi="Arial" w:cs="Arial"/>
          <w:sz w:val="24"/>
          <w:szCs w:val="24"/>
          <w:lang w:val="es-MX" w:eastAsia="es-MX"/>
        </w:rPr>
        <w:t>Aunque no se transcriben ni se citan formalmente en la normativa paraguaya, se observan los siguientes reflejos de marcos europeos y estadounidenses:</w:t>
      </w:r>
    </w:p>
    <w:p w14:paraId="2E6CC470" w14:textId="77777777" w:rsidR="0054037F" w:rsidRPr="0054037F" w:rsidRDefault="0054037F" w:rsidP="00A313F7">
      <w:pPr>
        <w:numPr>
          <w:ilvl w:val="0"/>
          <w:numId w:val="6"/>
        </w:numPr>
        <w:spacing w:before="100" w:beforeAutospacing="1" w:after="100" w:afterAutospacing="1" w:line="360" w:lineRule="auto"/>
        <w:jc w:val="both"/>
        <w:rPr>
          <w:rFonts w:ascii="Arial" w:eastAsia="Times New Roman" w:hAnsi="Arial" w:cs="Arial"/>
          <w:sz w:val="24"/>
          <w:szCs w:val="24"/>
          <w:lang w:val="es-MX" w:eastAsia="es-MX"/>
        </w:rPr>
      </w:pPr>
      <w:proofErr w:type="spellStart"/>
      <w:r w:rsidRPr="0054037F">
        <w:rPr>
          <w:rFonts w:ascii="Arial" w:eastAsia="Times New Roman" w:hAnsi="Arial" w:cs="Arial"/>
          <w:sz w:val="24"/>
          <w:szCs w:val="24"/>
          <w:lang w:val="es-MX" w:eastAsia="es-MX"/>
        </w:rPr>
        <w:t>Patriot</w:t>
      </w:r>
      <w:proofErr w:type="spellEnd"/>
      <w:r w:rsidRPr="0054037F">
        <w:rPr>
          <w:rFonts w:ascii="Arial" w:eastAsia="Times New Roman" w:hAnsi="Arial" w:cs="Arial"/>
          <w:sz w:val="24"/>
          <w:szCs w:val="24"/>
          <w:lang w:val="es-MX" w:eastAsia="es-MX"/>
        </w:rPr>
        <w:t xml:space="preserve"> </w:t>
      </w:r>
      <w:proofErr w:type="spellStart"/>
      <w:r w:rsidRPr="0054037F">
        <w:rPr>
          <w:rFonts w:ascii="Arial" w:eastAsia="Times New Roman" w:hAnsi="Arial" w:cs="Arial"/>
          <w:sz w:val="24"/>
          <w:szCs w:val="24"/>
          <w:lang w:val="es-MX" w:eastAsia="es-MX"/>
        </w:rPr>
        <w:t>Act</w:t>
      </w:r>
      <w:proofErr w:type="spellEnd"/>
      <w:r w:rsidRPr="0054037F">
        <w:rPr>
          <w:rFonts w:ascii="Arial" w:eastAsia="Times New Roman" w:hAnsi="Arial" w:cs="Arial"/>
          <w:sz w:val="24"/>
          <w:szCs w:val="24"/>
          <w:lang w:val="es-MX" w:eastAsia="es-MX"/>
        </w:rPr>
        <w:t xml:space="preserve"> (EE.UU.): Paraguay replicó sus exigencias sobre identificación del beneficiario final, monitoreo de transacciones inusuales y cooperación internacional, presentes en la Ley 1015/97, la Ley 6424/19 y resoluciones SEPRELAD.</w:t>
      </w:r>
    </w:p>
    <w:p w14:paraId="1DB8CE70" w14:textId="4B353B83" w:rsidR="0054037F" w:rsidRPr="00A313F7" w:rsidRDefault="0054037F" w:rsidP="00A313F7">
      <w:pPr>
        <w:numPr>
          <w:ilvl w:val="0"/>
          <w:numId w:val="6"/>
        </w:numPr>
        <w:spacing w:before="100" w:beforeAutospacing="1" w:after="100" w:afterAutospacing="1" w:line="360" w:lineRule="auto"/>
        <w:jc w:val="both"/>
        <w:rPr>
          <w:rFonts w:ascii="Arial" w:eastAsia="Times New Roman" w:hAnsi="Arial" w:cs="Arial"/>
          <w:sz w:val="24"/>
          <w:szCs w:val="24"/>
          <w:lang w:val="es-MX" w:eastAsia="es-MX"/>
        </w:rPr>
      </w:pPr>
      <w:r w:rsidRPr="0054037F">
        <w:rPr>
          <w:rFonts w:ascii="Arial" w:eastAsia="Times New Roman" w:hAnsi="Arial" w:cs="Arial"/>
          <w:sz w:val="24"/>
          <w:szCs w:val="24"/>
          <w:lang w:val="es-MX" w:eastAsia="es-MX"/>
        </w:rPr>
        <w:t>Cuarta y Quinta Directiva de la UE sobre PLA/FT: han influenciado en la incorporación de medidas reforzadas para clientes de riesgo alto, el tratamiento de PEPs, y la transparencia societaria a través de beneficiarios finales</w:t>
      </w:r>
      <w:r w:rsidR="000A18A8">
        <w:rPr>
          <w:rFonts w:ascii="Arial" w:eastAsia="Times New Roman" w:hAnsi="Arial" w:cs="Arial"/>
          <w:sz w:val="24"/>
          <w:szCs w:val="24"/>
          <w:lang w:val="es-MX" w:eastAsia="es-MX"/>
        </w:rPr>
        <w:t>.</w:t>
      </w:r>
    </w:p>
    <w:p w14:paraId="07452925" w14:textId="03481A8E" w:rsidR="00BE10F9" w:rsidRPr="00A313F7" w:rsidRDefault="00BE10F9" w:rsidP="00A313F7">
      <w:pPr>
        <w:spacing w:before="100" w:beforeAutospacing="1" w:after="100" w:afterAutospacing="1" w:line="360" w:lineRule="auto"/>
        <w:jc w:val="both"/>
        <w:rPr>
          <w:rFonts w:ascii="Arial" w:eastAsia="Times New Roman" w:hAnsi="Arial" w:cs="Arial"/>
          <w:sz w:val="24"/>
          <w:szCs w:val="24"/>
          <w:lang w:val="es-MX" w:eastAsia="es-MX"/>
        </w:rPr>
      </w:pPr>
    </w:p>
    <w:p w14:paraId="002F7036" w14:textId="36F08B0E" w:rsidR="00BE10F9" w:rsidRPr="00A313F7" w:rsidRDefault="00BE10F9" w:rsidP="00A313F7">
      <w:pPr>
        <w:spacing w:before="100" w:beforeAutospacing="1" w:after="100" w:afterAutospacing="1" w:line="360" w:lineRule="auto"/>
        <w:jc w:val="both"/>
        <w:rPr>
          <w:rFonts w:ascii="Arial" w:eastAsia="Times New Roman" w:hAnsi="Arial" w:cs="Arial"/>
          <w:sz w:val="24"/>
          <w:szCs w:val="24"/>
          <w:lang w:val="es-MX" w:eastAsia="es-MX"/>
        </w:rPr>
      </w:pPr>
    </w:p>
    <w:p w14:paraId="451374D7" w14:textId="1676471B" w:rsidR="00BE10F9" w:rsidRPr="00A313F7" w:rsidRDefault="00BE10F9" w:rsidP="00A313F7">
      <w:pPr>
        <w:spacing w:before="100" w:beforeAutospacing="1" w:after="100" w:afterAutospacing="1" w:line="360" w:lineRule="auto"/>
        <w:jc w:val="both"/>
        <w:rPr>
          <w:rFonts w:ascii="Arial" w:eastAsia="Times New Roman" w:hAnsi="Arial" w:cs="Arial"/>
          <w:sz w:val="24"/>
          <w:szCs w:val="24"/>
          <w:lang w:val="es-MX" w:eastAsia="es-MX"/>
        </w:rPr>
      </w:pPr>
    </w:p>
    <w:p w14:paraId="529298F8" w14:textId="5D034AD8" w:rsidR="00BE10F9" w:rsidRPr="00A313F7" w:rsidRDefault="00BE10F9" w:rsidP="00A313F7">
      <w:pPr>
        <w:spacing w:before="100" w:beforeAutospacing="1" w:after="100" w:afterAutospacing="1" w:line="360" w:lineRule="auto"/>
        <w:jc w:val="both"/>
        <w:rPr>
          <w:rFonts w:ascii="Arial" w:eastAsia="Times New Roman" w:hAnsi="Arial" w:cs="Arial"/>
          <w:sz w:val="24"/>
          <w:szCs w:val="24"/>
          <w:lang w:val="es-MX" w:eastAsia="es-MX"/>
        </w:rPr>
      </w:pPr>
    </w:p>
    <w:p w14:paraId="625B17C2" w14:textId="5BAB5EC4" w:rsidR="00BE10F9" w:rsidRPr="00A313F7" w:rsidRDefault="00BE10F9" w:rsidP="00A313F7">
      <w:pPr>
        <w:spacing w:before="100" w:beforeAutospacing="1" w:after="100" w:afterAutospacing="1" w:line="360" w:lineRule="auto"/>
        <w:jc w:val="both"/>
        <w:rPr>
          <w:rFonts w:ascii="Arial" w:eastAsia="Times New Roman" w:hAnsi="Arial" w:cs="Arial"/>
          <w:sz w:val="24"/>
          <w:szCs w:val="24"/>
          <w:lang w:val="es-MX" w:eastAsia="es-MX"/>
        </w:rPr>
      </w:pPr>
    </w:p>
    <w:p w14:paraId="585F779E" w14:textId="617CD03F" w:rsidR="00BE10F9" w:rsidRPr="00A313F7" w:rsidRDefault="00BE10F9" w:rsidP="00A313F7">
      <w:pPr>
        <w:spacing w:before="100" w:beforeAutospacing="1" w:after="100" w:afterAutospacing="1" w:line="360" w:lineRule="auto"/>
        <w:jc w:val="both"/>
        <w:rPr>
          <w:rFonts w:ascii="Arial" w:eastAsia="Times New Roman" w:hAnsi="Arial" w:cs="Arial"/>
          <w:sz w:val="24"/>
          <w:szCs w:val="24"/>
          <w:lang w:val="es-MX" w:eastAsia="es-MX"/>
        </w:rPr>
      </w:pPr>
    </w:p>
    <w:p w14:paraId="0C4DF7A7" w14:textId="26227153" w:rsidR="00BE10F9" w:rsidRPr="00A313F7" w:rsidRDefault="00BE10F9" w:rsidP="00A313F7">
      <w:pPr>
        <w:spacing w:before="100" w:beforeAutospacing="1" w:after="100" w:afterAutospacing="1" w:line="360" w:lineRule="auto"/>
        <w:jc w:val="both"/>
        <w:rPr>
          <w:rFonts w:ascii="Arial" w:eastAsia="Times New Roman" w:hAnsi="Arial" w:cs="Arial"/>
          <w:sz w:val="24"/>
          <w:szCs w:val="24"/>
          <w:lang w:val="es-MX" w:eastAsia="es-MX"/>
        </w:rPr>
      </w:pPr>
    </w:p>
    <w:p w14:paraId="126244B6" w14:textId="5EF2BF80" w:rsidR="00BE10F9" w:rsidRPr="00A313F7" w:rsidRDefault="00BE10F9" w:rsidP="00A313F7">
      <w:pPr>
        <w:spacing w:before="100" w:beforeAutospacing="1" w:after="100" w:afterAutospacing="1" w:line="360" w:lineRule="auto"/>
        <w:jc w:val="both"/>
        <w:rPr>
          <w:rFonts w:ascii="Arial" w:eastAsia="Times New Roman" w:hAnsi="Arial" w:cs="Arial"/>
          <w:sz w:val="24"/>
          <w:szCs w:val="24"/>
          <w:lang w:val="es-MX" w:eastAsia="es-MX"/>
        </w:rPr>
      </w:pPr>
    </w:p>
    <w:p w14:paraId="21A972FC" w14:textId="7CACED15" w:rsidR="00BE10F9" w:rsidRPr="00A313F7" w:rsidRDefault="00BE10F9" w:rsidP="00A313F7">
      <w:pPr>
        <w:spacing w:before="100" w:beforeAutospacing="1" w:after="100" w:afterAutospacing="1" w:line="360" w:lineRule="auto"/>
        <w:jc w:val="both"/>
        <w:rPr>
          <w:rFonts w:ascii="Arial" w:eastAsia="Times New Roman" w:hAnsi="Arial" w:cs="Arial"/>
          <w:sz w:val="24"/>
          <w:szCs w:val="24"/>
          <w:lang w:val="es-MX" w:eastAsia="es-MX"/>
        </w:rPr>
      </w:pPr>
    </w:p>
    <w:p w14:paraId="1B8E2791" w14:textId="3790B2B4" w:rsidR="00BE10F9" w:rsidRPr="00A313F7" w:rsidRDefault="00BE10F9" w:rsidP="00A313F7">
      <w:pPr>
        <w:spacing w:before="100" w:beforeAutospacing="1" w:after="100" w:afterAutospacing="1" w:line="360" w:lineRule="auto"/>
        <w:jc w:val="both"/>
        <w:rPr>
          <w:rFonts w:ascii="Arial" w:eastAsia="Times New Roman" w:hAnsi="Arial" w:cs="Arial"/>
          <w:sz w:val="24"/>
          <w:szCs w:val="24"/>
          <w:lang w:val="es-MX" w:eastAsia="es-MX"/>
        </w:rPr>
      </w:pPr>
    </w:p>
    <w:p w14:paraId="1B62CD8E" w14:textId="77777777" w:rsidR="0054037F" w:rsidRPr="00A313F7" w:rsidRDefault="0054037F" w:rsidP="00A313F7">
      <w:pPr>
        <w:pStyle w:val="Ttulo1"/>
        <w:spacing w:line="360" w:lineRule="auto"/>
        <w:rPr>
          <w:rFonts w:ascii="Arial" w:eastAsia="Times New Roman" w:hAnsi="Arial" w:cs="Arial"/>
          <w:color w:val="auto"/>
          <w:sz w:val="24"/>
          <w:szCs w:val="24"/>
          <w:lang w:val="es-MX"/>
        </w:rPr>
      </w:pPr>
      <w:bookmarkStart w:id="13" w:name="_Toc205218666"/>
      <w:r w:rsidRPr="00A313F7">
        <w:rPr>
          <w:rFonts w:ascii="Arial" w:eastAsia="Times New Roman" w:hAnsi="Arial" w:cs="Arial"/>
          <w:color w:val="auto"/>
          <w:sz w:val="24"/>
          <w:szCs w:val="24"/>
          <w:lang w:val="es-MX"/>
        </w:rPr>
        <w:t>Conclusión</w:t>
      </w:r>
      <w:bookmarkEnd w:id="13"/>
    </w:p>
    <w:p w14:paraId="42671517" w14:textId="77777777" w:rsidR="000A18A8" w:rsidRPr="000A18A8" w:rsidRDefault="000A18A8" w:rsidP="000A18A8">
      <w:pPr>
        <w:spacing w:before="100" w:beforeAutospacing="1" w:after="100" w:afterAutospacing="1" w:line="360" w:lineRule="auto"/>
        <w:jc w:val="both"/>
        <w:rPr>
          <w:rFonts w:ascii="Arial" w:eastAsia="Times New Roman" w:hAnsi="Arial" w:cs="Arial"/>
          <w:sz w:val="24"/>
          <w:szCs w:val="24"/>
          <w:lang w:val="es-MX" w:eastAsia="es-MX"/>
        </w:rPr>
      </w:pPr>
      <w:r w:rsidRPr="000A18A8">
        <w:rPr>
          <w:rFonts w:ascii="Arial" w:eastAsia="Times New Roman" w:hAnsi="Arial" w:cs="Arial"/>
          <w:sz w:val="24"/>
          <w:szCs w:val="24"/>
          <w:lang w:val="es-MX" w:eastAsia="es-MX"/>
        </w:rPr>
        <w:t>La evolución del marco legal paraguayo en materia de prevención del lavado de activos y financiamiento del terrorismo es un claro reflejo del compromiso del país con los estándares internacionales, en particular con las 40 Recomendaciones del GAFI. La adecuación normativa ha sido progresiva, técnica y dirigida, no solo por presiones del entorno internacional, sino también por la necesidad de preservar la integridad del sistema financiero nacional y su credibilidad frente a socios globales.</w:t>
      </w:r>
    </w:p>
    <w:p w14:paraId="43B868D6" w14:textId="660B2B2F" w:rsidR="000A18A8" w:rsidRPr="000A18A8" w:rsidRDefault="000A18A8" w:rsidP="000A18A8">
      <w:pPr>
        <w:spacing w:before="100" w:beforeAutospacing="1" w:after="100" w:afterAutospacing="1" w:line="360" w:lineRule="auto"/>
        <w:jc w:val="both"/>
        <w:rPr>
          <w:rFonts w:ascii="Arial" w:eastAsia="Times New Roman" w:hAnsi="Arial" w:cs="Arial"/>
          <w:sz w:val="24"/>
          <w:szCs w:val="24"/>
          <w:lang w:val="es-MX" w:eastAsia="es-MX"/>
        </w:rPr>
      </w:pPr>
      <w:r w:rsidRPr="000A18A8">
        <w:rPr>
          <w:rFonts w:ascii="Arial" w:eastAsia="Times New Roman" w:hAnsi="Arial" w:cs="Arial"/>
          <w:sz w:val="24"/>
          <w:szCs w:val="24"/>
          <w:lang w:val="es-MX" w:eastAsia="es-MX"/>
        </w:rPr>
        <w:t>Las reformas legales como la modificación de la Ley N.º 1015/97 mediante la Ley N.º 3783/09, la incorporación de un régimen sancionatorio robusto a través de la Ley N.º 6424/19, y la implementación del enfoque basado en riesgos mediante resoluciones SEPRELAD</w:t>
      </w:r>
      <w:r>
        <w:rPr>
          <w:rFonts w:ascii="Arial" w:eastAsia="Times New Roman" w:hAnsi="Arial" w:cs="Arial"/>
          <w:sz w:val="24"/>
          <w:szCs w:val="24"/>
          <w:lang w:val="es-MX" w:eastAsia="es-MX"/>
        </w:rPr>
        <w:t xml:space="preserve"> aplicadas a los Sujetos Obligados</w:t>
      </w:r>
      <w:r w:rsidRPr="000A18A8">
        <w:rPr>
          <w:rFonts w:ascii="Arial" w:eastAsia="Times New Roman" w:hAnsi="Arial" w:cs="Arial"/>
          <w:sz w:val="24"/>
          <w:szCs w:val="24"/>
          <w:lang w:val="es-MX" w:eastAsia="es-MX"/>
        </w:rPr>
        <w:t>, constituyen ejemplos concretos de este alineamiento.</w:t>
      </w:r>
    </w:p>
    <w:p w14:paraId="0DD6ED95" w14:textId="77777777" w:rsidR="000A18A8" w:rsidRPr="000A18A8" w:rsidRDefault="000A18A8" w:rsidP="000A18A8">
      <w:pPr>
        <w:spacing w:before="100" w:beforeAutospacing="1" w:after="100" w:afterAutospacing="1" w:line="360" w:lineRule="auto"/>
        <w:jc w:val="both"/>
        <w:rPr>
          <w:rFonts w:ascii="Arial" w:eastAsia="Times New Roman" w:hAnsi="Arial" w:cs="Arial"/>
          <w:sz w:val="24"/>
          <w:szCs w:val="24"/>
          <w:lang w:val="es-MX" w:eastAsia="es-MX"/>
        </w:rPr>
      </w:pPr>
      <w:r w:rsidRPr="00732414">
        <w:rPr>
          <w:rFonts w:ascii="Arial" w:eastAsia="Times New Roman" w:hAnsi="Arial" w:cs="Arial"/>
          <w:sz w:val="24"/>
          <w:szCs w:val="24"/>
          <w:highlight w:val="yellow"/>
          <w:lang w:val="es-MX" w:eastAsia="es-MX"/>
        </w:rPr>
        <w:t>Asimismo, si bien Paraguay no adopta expresamente marcos regulatorios como SAGRILAFT, COSO, Grupo Wolfsberg o los Principios de Basilea, sí internaliza sus elementos estructurales a través de obligaciones sobre control interno, debida diligencia, gestión de riesgos y gobierno corporativo. Esta convergencia funcional consolida un sistema preventivo sólido, aunque perfectible.</w:t>
      </w:r>
    </w:p>
    <w:p w14:paraId="0CA9683E" w14:textId="0584444C" w:rsidR="002349AF" w:rsidRPr="00A313F7" w:rsidRDefault="000A18A8" w:rsidP="000A18A8">
      <w:pPr>
        <w:spacing w:before="100" w:beforeAutospacing="1" w:after="100" w:afterAutospacing="1" w:line="360" w:lineRule="auto"/>
        <w:jc w:val="both"/>
        <w:rPr>
          <w:rFonts w:ascii="Arial" w:hAnsi="Arial" w:cs="Arial"/>
          <w:sz w:val="24"/>
          <w:szCs w:val="24"/>
        </w:rPr>
      </w:pPr>
      <w:r w:rsidRPr="00732414">
        <w:rPr>
          <w:rFonts w:ascii="Arial" w:eastAsia="Times New Roman" w:hAnsi="Arial" w:cs="Arial"/>
          <w:sz w:val="24"/>
          <w:szCs w:val="24"/>
          <w:highlight w:val="yellow"/>
          <w:lang w:val="es-MX" w:eastAsia="es-MX"/>
        </w:rPr>
        <w:t>En definitiva, la influencia del GAFI y otros organismos internacionales ha fortalecido sustancialmente la arquitectura legal e institucional paraguaya. Este proceso ha promovido una cultura de cumplimiento más madura y una cooperación internacional más efectiva, aspectos indispensables para enfrentar los desafíos globales del crimen financiero contemporáneo. El reto pendiente es garantizar la implementación efectiva y sostenida de estas normativas, de modo que el cumplimiento formal se traduzca en resultados sustantivos y verificables en la lucha contra el lavado de activos y el financiamiento del terrorismo.</w:t>
      </w:r>
    </w:p>
    <w:sectPr w:rsidR="002349AF" w:rsidRPr="00A313F7" w:rsidSect="00FC2668">
      <w:pgSz w:w="11906" w:h="16838" w:code="9"/>
      <w:pgMar w:top="1418" w:right="1701" w:bottom="1418" w:left="1701" w:header="709" w:footer="709" w:gutter="0"/>
      <w:cols w:space="708"/>
      <w:titlePg/>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03FD9"/>
    <w:multiLevelType w:val="multilevel"/>
    <w:tmpl w:val="449A2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23473D"/>
    <w:multiLevelType w:val="hybridMultilevel"/>
    <w:tmpl w:val="57140FBA"/>
    <w:lvl w:ilvl="0" w:tplc="3C0A0009">
      <w:start w:val="1"/>
      <w:numFmt w:val="bullet"/>
      <w:lvlText w:val=""/>
      <w:lvlJc w:val="left"/>
      <w:pPr>
        <w:ind w:left="1200" w:hanging="360"/>
      </w:pPr>
      <w:rPr>
        <w:rFonts w:ascii="Wingdings" w:hAnsi="Wingdings" w:hint="default"/>
      </w:rPr>
    </w:lvl>
    <w:lvl w:ilvl="1" w:tplc="3C0A0003" w:tentative="1">
      <w:start w:val="1"/>
      <w:numFmt w:val="bullet"/>
      <w:lvlText w:val="o"/>
      <w:lvlJc w:val="left"/>
      <w:pPr>
        <w:ind w:left="1920" w:hanging="360"/>
      </w:pPr>
      <w:rPr>
        <w:rFonts w:ascii="Courier New" w:hAnsi="Courier New" w:cs="Courier New" w:hint="default"/>
      </w:rPr>
    </w:lvl>
    <w:lvl w:ilvl="2" w:tplc="3C0A0005" w:tentative="1">
      <w:start w:val="1"/>
      <w:numFmt w:val="bullet"/>
      <w:lvlText w:val=""/>
      <w:lvlJc w:val="left"/>
      <w:pPr>
        <w:ind w:left="2640" w:hanging="360"/>
      </w:pPr>
      <w:rPr>
        <w:rFonts w:ascii="Wingdings" w:hAnsi="Wingdings" w:hint="default"/>
      </w:rPr>
    </w:lvl>
    <w:lvl w:ilvl="3" w:tplc="3C0A0001" w:tentative="1">
      <w:start w:val="1"/>
      <w:numFmt w:val="bullet"/>
      <w:lvlText w:val=""/>
      <w:lvlJc w:val="left"/>
      <w:pPr>
        <w:ind w:left="3360" w:hanging="360"/>
      </w:pPr>
      <w:rPr>
        <w:rFonts w:ascii="Symbol" w:hAnsi="Symbol" w:hint="default"/>
      </w:rPr>
    </w:lvl>
    <w:lvl w:ilvl="4" w:tplc="3C0A0003" w:tentative="1">
      <w:start w:val="1"/>
      <w:numFmt w:val="bullet"/>
      <w:lvlText w:val="o"/>
      <w:lvlJc w:val="left"/>
      <w:pPr>
        <w:ind w:left="4080" w:hanging="360"/>
      </w:pPr>
      <w:rPr>
        <w:rFonts w:ascii="Courier New" w:hAnsi="Courier New" w:cs="Courier New" w:hint="default"/>
      </w:rPr>
    </w:lvl>
    <w:lvl w:ilvl="5" w:tplc="3C0A0005" w:tentative="1">
      <w:start w:val="1"/>
      <w:numFmt w:val="bullet"/>
      <w:lvlText w:val=""/>
      <w:lvlJc w:val="left"/>
      <w:pPr>
        <w:ind w:left="4800" w:hanging="360"/>
      </w:pPr>
      <w:rPr>
        <w:rFonts w:ascii="Wingdings" w:hAnsi="Wingdings" w:hint="default"/>
      </w:rPr>
    </w:lvl>
    <w:lvl w:ilvl="6" w:tplc="3C0A0001" w:tentative="1">
      <w:start w:val="1"/>
      <w:numFmt w:val="bullet"/>
      <w:lvlText w:val=""/>
      <w:lvlJc w:val="left"/>
      <w:pPr>
        <w:ind w:left="5520" w:hanging="360"/>
      </w:pPr>
      <w:rPr>
        <w:rFonts w:ascii="Symbol" w:hAnsi="Symbol" w:hint="default"/>
      </w:rPr>
    </w:lvl>
    <w:lvl w:ilvl="7" w:tplc="3C0A0003" w:tentative="1">
      <w:start w:val="1"/>
      <w:numFmt w:val="bullet"/>
      <w:lvlText w:val="o"/>
      <w:lvlJc w:val="left"/>
      <w:pPr>
        <w:ind w:left="6240" w:hanging="360"/>
      </w:pPr>
      <w:rPr>
        <w:rFonts w:ascii="Courier New" w:hAnsi="Courier New" w:cs="Courier New" w:hint="default"/>
      </w:rPr>
    </w:lvl>
    <w:lvl w:ilvl="8" w:tplc="3C0A0005" w:tentative="1">
      <w:start w:val="1"/>
      <w:numFmt w:val="bullet"/>
      <w:lvlText w:val=""/>
      <w:lvlJc w:val="left"/>
      <w:pPr>
        <w:ind w:left="6960" w:hanging="360"/>
      </w:pPr>
      <w:rPr>
        <w:rFonts w:ascii="Wingdings" w:hAnsi="Wingdings" w:hint="default"/>
      </w:rPr>
    </w:lvl>
  </w:abstractNum>
  <w:abstractNum w:abstractNumId="2" w15:restartNumberingAfterBreak="0">
    <w:nsid w:val="306B2DAF"/>
    <w:multiLevelType w:val="multilevel"/>
    <w:tmpl w:val="AA6EE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C8267F3"/>
    <w:multiLevelType w:val="multilevel"/>
    <w:tmpl w:val="48787E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0FD3AD6"/>
    <w:multiLevelType w:val="multilevel"/>
    <w:tmpl w:val="D01E836E"/>
    <w:lvl w:ilvl="0">
      <w:start w:val="1"/>
      <w:numFmt w:val="decimal"/>
      <w:lvlText w:val="%1)"/>
      <w:lvlJc w:val="left"/>
      <w:pPr>
        <w:ind w:left="0" w:hanging="360"/>
      </w:pPr>
    </w:lvl>
    <w:lvl w:ilvl="1">
      <w:start w:val="1"/>
      <w:numFmt w:val="lowerLetter"/>
      <w:lvlText w:val="%2)"/>
      <w:lvlJc w:val="left"/>
      <w:pPr>
        <w:ind w:left="360" w:hanging="360"/>
      </w:pPr>
    </w:lvl>
    <w:lvl w:ilvl="2">
      <w:start w:val="1"/>
      <w:numFmt w:val="lowerRoman"/>
      <w:lvlText w:val="%3)"/>
      <w:lvlJc w:val="left"/>
      <w:pPr>
        <w:ind w:left="720" w:hanging="360"/>
      </w:pPr>
    </w:lvl>
    <w:lvl w:ilvl="3">
      <w:start w:val="1"/>
      <w:numFmt w:val="decimal"/>
      <w:lvlText w:val="(%4)"/>
      <w:lvlJc w:val="left"/>
      <w:pPr>
        <w:ind w:left="1080" w:hanging="360"/>
      </w:pPr>
    </w:lvl>
    <w:lvl w:ilvl="4">
      <w:start w:val="1"/>
      <w:numFmt w:val="lowerLetter"/>
      <w:lvlText w:val="(%5)"/>
      <w:lvlJc w:val="left"/>
      <w:pPr>
        <w:ind w:left="1440" w:hanging="360"/>
      </w:pPr>
    </w:lvl>
    <w:lvl w:ilvl="5">
      <w:start w:val="1"/>
      <w:numFmt w:val="lowerRoman"/>
      <w:lvlText w:val="(%6)"/>
      <w:lvlJc w:val="left"/>
      <w:pPr>
        <w:ind w:left="1800" w:hanging="36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5" w15:restartNumberingAfterBreak="0">
    <w:nsid w:val="6D412923"/>
    <w:multiLevelType w:val="multilevel"/>
    <w:tmpl w:val="AA925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DAA2D63"/>
    <w:multiLevelType w:val="multilevel"/>
    <w:tmpl w:val="FA7AD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5"/>
  </w:num>
  <w:num w:numId="4">
    <w:abstractNumId w:val="6"/>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37F"/>
    <w:rsid w:val="000A18A8"/>
    <w:rsid w:val="00114016"/>
    <w:rsid w:val="00193C77"/>
    <w:rsid w:val="002349AF"/>
    <w:rsid w:val="00443EC8"/>
    <w:rsid w:val="00471230"/>
    <w:rsid w:val="004C1264"/>
    <w:rsid w:val="0054037F"/>
    <w:rsid w:val="00732414"/>
    <w:rsid w:val="009E5D44"/>
    <w:rsid w:val="00A313F7"/>
    <w:rsid w:val="00BE10F9"/>
    <w:rsid w:val="00D06988"/>
    <w:rsid w:val="00FC16FC"/>
    <w:rsid w:val="00FC266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832B71"/>
  <w15:chartTrackingRefBased/>
  <w15:docId w15:val="{FF4BE89E-727B-48CD-9043-79E8AD205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PY"/>
    </w:rPr>
  </w:style>
  <w:style w:type="paragraph" w:styleId="Ttulo1">
    <w:name w:val="heading 1"/>
    <w:basedOn w:val="Normal"/>
    <w:next w:val="Normal"/>
    <w:link w:val="Ttulo1Car"/>
    <w:uiPriority w:val="9"/>
    <w:qFormat/>
    <w:rsid w:val="00BE10F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autoRedefine/>
    <w:qFormat/>
    <w:rsid w:val="000A18A8"/>
    <w:pPr>
      <w:keepNext/>
      <w:keepLines/>
      <w:spacing w:before="360" w:after="80" w:line="360" w:lineRule="auto"/>
      <w:jc w:val="both"/>
      <w:outlineLvl w:val="1"/>
    </w:pPr>
    <w:rPr>
      <w:rFonts w:ascii="Century Gothic" w:eastAsia="Calibri" w:hAnsi="Century Gothic" w:cs="Calibri"/>
      <w:sz w:val="28"/>
      <w:szCs w:val="36"/>
      <w:lang w:eastAsia="es-ES"/>
    </w:rPr>
  </w:style>
  <w:style w:type="paragraph" w:styleId="Ttulo3">
    <w:name w:val="heading 3"/>
    <w:basedOn w:val="Normal"/>
    <w:link w:val="Ttulo3Car"/>
    <w:uiPriority w:val="9"/>
    <w:qFormat/>
    <w:rsid w:val="0054037F"/>
    <w:pPr>
      <w:spacing w:before="100" w:beforeAutospacing="1" w:after="100" w:afterAutospacing="1" w:line="240" w:lineRule="auto"/>
      <w:outlineLvl w:val="2"/>
    </w:pPr>
    <w:rPr>
      <w:rFonts w:ascii="Times New Roman" w:eastAsia="Times New Roman" w:hAnsi="Times New Roman" w:cs="Times New Roman"/>
      <w:b/>
      <w:bCs/>
      <w:sz w:val="27"/>
      <w:szCs w:val="27"/>
      <w:lang w:val="es-MX" w:eastAsia="es-MX"/>
    </w:rPr>
  </w:style>
  <w:style w:type="paragraph" w:styleId="Ttulo4">
    <w:name w:val="heading 4"/>
    <w:basedOn w:val="Normal"/>
    <w:next w:val="Normal"/>
    <w:link w:val="Ttulo4Car"/>
    <w:uiPriority w:val="9"/>
    <w:semiHidden/>
    <w:unhideWhenUsed/>
    <w:qFormat/>
    <w:rsid w:val="004C126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0A18A8"/>
    <w:rPr>
      <w:rFonts w:ascii="Century Gothic" w:eastAsia="Calibri" w:hAnsi="Century Gothic" w:cs="Calibri"/>
      <w:sz w:val="28"/>
      <w:szCs w:val="36"/>
      <w:lang w:val="es-PY" w:eastAsia="es-ES"/>
    </w:rPr>
  </w:style>
  <w:style w:type="character" w:customStyle="1" w:styleId="Ttulo3Car">
    <w:name w:val="Título 3 Car"/>
    <w:basedOn w:val="Fuentedeprrafopredeter"/>
    <w:link w:val="Ttulo3"/>
    <w:uiPriority w:val="9"/>
    <w:rsid w:val="0054037F"/>
    <w:rPr>
      <w:rFonts w:ascii="Times New Roman" w:eastAsia="Times New Roman" w:hAnsi="Times New Roman" w:cs="Times New Roman"/>
      <w:b/>
      <w:bCs/>
      <w:sz w:val="27"/>
      <w:szCs w:val="27"/>
      <w:lang w:eastAsia="es-MX"/>
    </w:rPr>
  </w:style>
  <w:style w:type="paragraph" w:styleId="NormalWeb">
    <w:name w:val="Normal (Web)"/>
    <w:basedOn w:val="Normal"/>
    <w:uiPriority w:val="99"/>
    <w:semiHidden/>
    <w:unhideWhenUsed/>
    <w:rsid w:val="0054037F"/>
    <w:pPr>
      <w:spacing w:before="100" w:beforeAutospacing="1" w:after="100" w:afterAutospacing="1" w:line="240" w:lineRule="auto"/>
    </w:pPr>
    <w:rPr>
      <w:rFonts w:ascii="Times New Roman" w:eastAsia="Times New Roman" w:hAnsi="Times New Roman" w:cs="Times New Roman"/>
      <w:sz w:val="24"/>
      <w:szCs w:val="24"/>
      <w:lang w:val="es-MX" w:eastAsia="es-MX"/>
    </w:rPr>
  </w:style>
  <w:style w:type="character" w:styleId="Textoennegrita">
    <w:name w:val="Strong"/>
    <w:basedOn w:val="Fuentedeprrafopredeter"/>
    <w:uiPriority w:val="22"/>
    <w:qFormat/>
    <w:rsid w:val="0054037F"/>
    <w:rPr>
      <w:b/>
      <w:bCs/>
    </w:rPr>
  </w:style>
  <w:style w:type="character" w:customStyle="1" w:styleId="Ttulo1Car">
    <w:name w:val="Título 1 Car"/>
    <w:basedOn w:val="Fuentedeprrafopredeter"/>
    <w:link w:val="Ttulo1"/>
    <w:uiPriority w:val="9"/>
    <w:rsid w:val="00BE10F9"/>
    <w:rPr>
      <w:rFonts w:asciiTheme="majorHAnsi" w:eastAsiaTheme="majorEastAsia" w:hAnsiTheme="majorHAnsi" w:cstheme="majorBidi"/>
      <w:color w:val="2F5496" w:themeColor="accent1" w:themeShade="BF"/>
      <w:sz w:val="32"/>
      <w:szCs w:val="32"/>
      <w:lang w:val="es-PY"/>
    </w:rPr>
  </w:style>
  <w:style w:type="paragraph" w:styleId="TtuloTDC">
    <w:name w:val="TOC Heading"/>
    <w:basedOn w:val="Ttulo1"/>
    <w:next w:val="Normal"/>
    <w:uiPriority w:val="39"/>
    <w:unhideWhenUsed/>
    <w:qFormat/>
    <w:rsid w:val="00BE10F9"/>
    <w:pPr>
      <w:outlineLvl w:val="9"/>
    </w:pPr>
    <w:rPr>
      <w:lang w:val="es-MX" w:eastAsia="es-MX"/>
    </w:rPr>
  </w:style>
  <w:style w:type="paragraph" w:styleId="TDC3">
    <w:name w:val="toc 3"/>
    <w:basedOn w:val="Normal"/>
    <w:next w:val="Normal"/>
    <w:autoRedefine/>
    <w:uiPriority w:val="39"/>
    <w:unhideWhenUsed/>
    <w:rsid w:val="00BE10F9"/>
    <w:pPr>
      <w:spacing w:after="100"/>
      <w:ind w:left="440"/>
    </w:pPr>
  </w:style>
  <w:style w:type="paragraph" w:styleId="TDC1">
    <w:name w:val="toc 1"/>
    <w:basedOn w:val="Normal"/>
    <w:next w:val="Normal"/>
    <w:autoRedefine/>
    <w:uiPriority w:val="39"/>
    <w:unhideWhenUsed/>
    <w:rsid w:val="00BE10F9"/>
    <w:pPr>
      <w:spacing w:after="100"/>
    </w:pPr>
  </w:style>
  <w:style w:type="paragraph" w:styleId="TDC2">
    <w:name w:val="toc 2"/>
    <w:basedOn w:val="Normal"/>
    <w:next w:val="Normal"/>
    <w:autoRedefine/>
    <w:uiPriority w:val="39"/>
    <w:unhideWhenUsed/>
    <w:rsid w:val="00BE10F9"/>
    <w:pPr>
      <w:spacing w:after="100"/>
      <w:ind w:left="220"/>
    </w:pPr>
  </w:style>
  <w:style w:type="character" w:styleId="Hipervnculo">
    <w:name w:val="Hyperlink"/>
    <w:basedOn w:val="Fuentedeprrafopredeter"/>
    <w:uiPriority w:val="99"/>
    <w:unhideWhenUsed/>
    <w:rsid w:val="00BE10F9"/>
    <w:rPr>
      <w:color w:val="0563C1" w:themeColor="hyperlink"/>
      <w:u w:val="single"/>
    </w:rPr>
  </w:style>
  <w:style w:type="character" w:styleId="Refdecomentario">
    <w:name w:val="annotation reference"/>
    <w:basedOn w:val="Fuentedeprrafopredeter"/>
    <w:uiPriority w:val="99"/>
    <w:semiHidden/>
    <w:unhideWhenUsed/>
    <w:rsid w:val="00FC16FC"/>
    <w:rPr>
      <w:sz w:val="16"/>
      <w:szCs w:val="16"/>
    </w:rPr>
  </w:style>
  <w:style w:type="paragraph" w:styleId="Textocomentario">
    <w:name w:val="annotation text"/>
    <w:basedOn w:val="Normal"/>
    <w:link w:val="TextocomentarioCar"/>
    <w:uiPriority w:val="99"/>
    <w:semiHidden/>
    <w:unhideWhenUsed/>
    <w:rsid w:val="00FC16FC"/>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FC16FC"/>
    <w:rPr>
      <w:sz w:val="20"/>
      <w:szCs w:val="20"/>
      <w:lang w:val="es-PY"/>
    </w:rPr>
  </w:style>
  <w:style w:type="paragraph" w:styleId="Asuntodelcomentario">
    <w:name w:val="annotation subject"/>
    <w:basedOn w:val="Textocomentario"/>
    <w:next w:val="Textocomentario"/>
    <w:link w:val="AsuntodelcomentarioCar"/>
    <w:uiPriority w:val="99"/>
    <w:semiHidden/>
    <w:unhideWhenUsed/>
    <w:rsid w:val="00FC16FC"/>
    <w:rPr>
      <w:b/>
      <w:bCs/>
    </w:rPr>
  </w:style>
  <w:style w:type="character" w:customStyle="1" w:styleId="AsuntodelcomentarioCar">
    <w:name w:val="Asunto del comentario Car"/>
    <w:basedOn w:val="TextocomentarioCar"/>
    <w:link w:val="Asuntodelcomentario"/>
    <w:uiPriority w:val="99"/>
    <w:semiHidden/>
    <w:rsid w:val="00FC16FC"/>
    <w:rPr>
      <w:b/>
      <w:bCs/>
      <w:sz w:val="20"/>
      <w:szCs w:val="20"/>
      <w:lang w:val="es-PY"/>
    </w:rPr>
  </w:style>
  <w:style w:type="paragraph" w:styleId="Prrafodelista">
    <w:name w:val="List Paragraph"/>
    <w:basedOn w:val="Normal"/>
    <w:uiPriority w:val="34"/>
    <w:qFormat/>
    <w:rsid w:val="004C1264"/>
    <w:pPr>
      <w:spacing w:after="0" w:line="240" w:lineRule="auto"/>
      <w:ind w:left="720"/>
      <w:contextualSpacing/>
    </w:pPr>
    <w:rPr>
      <w:rFonts w:ascii="Times New Roman" w:eastAsia="Times New Roman" w:hAnsi="Times New Roman" w:cs="Times New Roman"/>
      <w:sz w:val="24"/>
      <w:szCs w:val="24"/>
      <w:lang w:val="es-CO" w:eastAsia="es-ES"/>
    </w:rPr>
  </w:style>
  <w:style w:type="character" w:customStyle="1" w:styleId="Ttulo4Car">
    <w:name w:val="Título 4 Car"/>
    <w:basedOn w:val="Fuentedeprrafopredeter"/>
    <w:link w:val="Ttulo4"/>
    <w:uiPriority w:val="9"/>
    <w:semiHidden/>
    <w:rsid w:val="004C1264"/>
    <w:rPr>
      <w:rFonts w:asciiTheme="majorHAnsi" w:eastAsiaTheme="majorEastAsia" w:hAnsiTheme="majorHAnsi" w:cstheme="majorBidi"/>
      <w:i/>
      <w:iCs/>
      <w:color w:val="2F5496" w:themeColor="accent1" w:themeShade="BF"/>
      <w:lang w:val="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84521">
      <w:bodyDiv w:val="1"/>
      <w:marLeft w:val="0"/>
      <w:marRight w:val="0"/>
      <w:marTop w:val="0"/>
      <w:marBottom w:val="0"/>
      <w:divBdr>
        <w:top w:val="none" w:sz="0" w:space="0" w:color="auto"/>
        <w:left w:val="none" w:sz="0" w:space="0" w:color="auto"/>
        <w:bottom w:val="none" w:sz="0" w:space="0" w:color="auto"/>
        <w:right w:val="none" w:sz="0" w:space="0" w:color="auto"/>
      </w:divBdr>
    </w:div>
    <w:div w:id="536312275">
      <w:bodyDiv w:val="1"/>
      <w:marLeft w:val="0"/>
      <w:marRight w:val="0"/>
      <w:marTop w:val="0"/>
      <w:marBottom w:val="0"/>
      <w:divBdr>
        <w:top w:val="none" w:sz="0" w:space="0" w:color="auto"/>
        <w:left w:val="none" w:sz="0" w:space="0" w:color="auto"/>
        <w:bottom w:val="none" w:sz="0" w:space="0" w:color="auto"/>
        <w:right w:val="none" w:sz="0" w:space="0" w:color="auto"/>
      </w:divBdr>
    </w:div>
    <w:div w:id="1037310901">
      <w:bodyDiv w:val="1"/>
      <w:marLeft w:val="0"/>
      <w:marRight w:val="0"/>
      <w:marTop w:val="0"/>
      <w:marBottom w:val="0"/>
      <w:divBdr>
        <w:top w:val="none" w:sz="0" w:space="0" w:color="auto"/>
        <w:left w:val="none" w:sz="0" w:space="0" w:color="auto"/>
        <w:bottom w:val="none" w:sz="0" w:space="0" w:color="auto"/>
        <w:right w:val="none" w:sz="0" w:space="0" w:color="auto"/>
      </w:divBdr>
    </w:div>
    <w:div w:id="1086002066">
      <w:bodyDiv w:val="1"/>
      <w:marLeft w:val="0"/>
      <w:marRight w:val="0"/>
      <w:marTop w:val="0"/>
      <w:marBottom w:val="0"/>
      <w:divBdr>
        <w:top w:val="none" w:sz="0" w:space="0" w:color="auto"/>
        <w:left w:val="none" w:sz="0" w:space="0" w:color="auto"/>
        <w:bottom w:val="none" w:sz="0" w:space="0" w:color="auto"/>
        <w:right w:val="none" w:sz="0" w:space="0" w:color="auto"/>
      </w:divBdr>
    </w:div>
    <w:div w:id="1811902083">
      <w:bodyDiv w:val="1"/>
      <w:marLeft w:val="0"/>
      <w:marRight w:val="0"/>
      <w:marTop w:val="0"/>
      <w:marBottom w:val="0"/>
      <w:divBdr>
        <w:top w:val="none" w:sz="0" w:space="0" w:color="auto"/>
        <w:left w:val="none" w:sz="0" w:space="0" w:color="auto"/>
        <w:bottom w:val="none" w:sz="0" w:space="0" w:color="auto"/>
        <w:right w:val="none" w:sz="0" w:space="0" w:color="auto"/>
      </w:divBdr>
    </w:div>
    <w:div w:id="1844397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99280-974F-415E-8100-3BBDF7122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2015</Words>
  <Characters>11085</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Cynthia Sanabria</dc:creator>
  <cp:keywords/>
  <dc:description/>
  <cp:lastModifiedBy>Cynthia Sanabria</cp:lastModifiedBy>
  <cp:revision>3</cp:revision>
  <cp:lastPrinted>2025-08-04T19:51:00Z</cp:lastPrinted>
  <dcterms:created xsi:type="dcterms:W3CDTF">2026-04-20T16:57:00Z</dcterms:created>
  <dcterms:modified xsi:type="dcterms:W3CDTF">2026-04-20T16:57:00Z</dcterms:modified>
</cp:coreProperties>
</file>